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7886" w14:textId="48A1E5B9" w:rsidR="0002770A" w:rsidRPr="0002770A" w:rsidRDefault="0002770A" w:rsidP="0002770A">
      <w:pPr>
        <w:spacing w:after="0" w:line="240" w:lineRule="auto"/>
        <w:ind w:left="4247"/>
        <w:jc w:val="right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  <w:b/>
        </w:rPr>
        <w:tab/>
      </w:r>
      <w:r w:rsidRPr="0002770A">
        <w:rPr>
          <w:rFonts w:asciiTheme="minorHAnsi" w:hAnsiTheme="minorHAnsi" w:cstheme="minorHAnsi"/>
        </w:rPr>
        <w:t xml:space="preserve">Załącznik nr 7 </w:t>
      </w:r>
    </w:p>
    <w:p w14:paraId="13AEF828" w14:textId="1FAA82C6" w:rsidR="0002770A" w:rsidRPr="0002770A" w:rsidRDefault="0002770A" w:rsidP="00E60445">
      <w:pPr>
        <w:ind w:right="-285"/>
        <w:rPr>
          <w:rFonts w:asciiTheme="minorHAnsi" w:hAnsiTheme="minorHAnsi" w:cstheme="minorHAnsi"/>
          <w:b/>
        </w:rPr>
      </w:pPr>
    </w:p>
    <w:p w14:paraId="1D037F2D" w14:textId="77777777" w:rsidR="0002770A" w:rsidRPr="0002770A" w:rsidRDefault="0002770A" w:rsidP="00355921">
      <w:pPr>
        <w:spacing w:after="0" w:line="240" w:lineRule="auto"/>
        <w:ind w:right="-284"/>
        <w:jc w:val="center"/>
        <w:rPr>
          <w:rFonts w:asciiTheme="minorHAnsi" w:hAnsiTheme="minorHAnsi" w:cstheme="minorHAnsi"/>
          <w:b/>
        </w:rPr>
      </w:pPr>
      <w:r w:rsidRPr="0002770A">
        <w:rPr>
          <w:rFonts w:asciiTheme="minorHAnsi" w:hAnsiTheme="minorHAnsi" w:cstheme="minorHAnsi"/>
          <w:b/>
        </w:rPr>
        <w:t>OPIS PRZEDMIOTU ZAMÓWIENIA</w:t>
      </w:r>
    </w:p>
    <w:p w14:paraId="4BE4D355" w14:textId="46E6D929" w:rsidR="00997C40" w:rsidRPr="00B15D8A" w:rsidRDefault="00B15D8A" w:rsidP="00B15D8A">
      <w:pPr>
        <w:pStyle w:val="WW-Domylni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5D8A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bookmarkStart w:id="0" w:name="_Hlk94603147"/>
      <w:r w:rsidRPr="00B15D8A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bookmarkEnd w:id="0"/>
      <w:r w:rsidRPr="00B15D8A">
        <w:rPr>
          <w:rFonts w:asciiTheme="minorHAnsi" w:hAnsiTheme="minorHAnsi" w:cstheme="minorHAnsi"/>
          <w:b/>
          <w:sz w:val="22"/>
          <w:szCs w:val="22"/>
        </w:rPr>
        <w:t>zbiorników odcieków wraz z obudową przepompowni do Zakładu Zagospodarowania Odpadów w Białej Podlaskiej</w:t>
      </w:r>
      <w:r w:rsidRPr="00B15D8A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586CD70B" w14:textId="77777777" w:rsidR="00355921" w:rsidRDefault="00355921" w:rsidP="0002770A">
      <w:pPr>
        <w:rPr>
          <w:rFonts w:asciiTheme="minorHAnsi" w:hAnsiTheme="minorHAnsi" w:cstheme="minorHAnsi"/>
          <w:bCs/>
        </w:rPr>
      </w:pPr>
    </w:p>
    <w:p w14:paraId="4A3835DC" w14:textId="16CFE342" w:rsidR="00355921" w:rsidRDefault="0002770A" w:rsidP="00355921">
      <w:pPr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  <w:bCs/>
        </w:rPr>
        <w:t>Znak sprawy: SO-2/2025</w:t>
      </w:r>
      <w:r w:rsidR="00355921">
        <w:rPr>
          <w:rFonts w:asciiTheme="minorHAnsi" w:hAnsiTheme="minorHAnsi" w:cstheme="minorHAnsi"/>
        </w:rPr>
        <w:t>,</w:t>
      </w:r>
    </w:p>
    <w:p w14:paraId="0EE63A4C" w14:textId="66CBCC76" w:rsidR="00355921" w:rsidRPr="00355921" w:rsidRDefault="00355921" w:rsidP="00355921">
      <w:pPr>
        <w:rPr>
          <w:rFonts w:asciiTheme="minorHAnsi" w:hAnsiTheme="minorHAnsi" w:cstheme="minorHAnsi"/>
        </w:rPr>
      </w:pPr>
    </w:p>
    <w:p w14:paraId="248C310F" w14:textId="51E906FF" w:rsidR="00D3199D" w:rsidRPr="0002770A" w:rsidRDefault="00D3199D" w:rsidP="00D3199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1.  Zbiornik retencyjny odcieków </w:t>
      </w:r>
    </w:p>
    <w:p w14:paraId="3142C35F" w14:textId="0F303702" w:rsidR="00D3199D" w:rsidRPr="0002770A" w:rsidRDefault="00583003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583003">
        <w:rPr>
          <w:rFonts w:asciiTheme="minorHAnsi" w:eastAsia="Times New Roman" w:hAnsiTheme="minorHAnsi" w:cstheme="minorHAnsi"/>
          <w:kern w:val="0"/>
          <w:lang w:eastAsia="pl-PL"/>
        </w:rPr>
        <w:t>Z</w:t>
      </w:r>
      <w:r w:rsidR="00D3199D"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aprojektowano dwa podziemne zbiorniki retencyjne z tworzywa sztucznego GRP o podwyższonej odporności. </w:t>
      </w:r>
      <w:r w:rsidR="00D3199D" w:rsidRPr="0002770A">
        <w:rPr>
          <w:rFonts w:asciiTheme="minorHAnsi" w:eastAsia="Times New Roman" w:hAnsiTheme="minorHAnsi" w:cstheme="minorHAnsi"/>
          <w:kern w:val="0"/>
          <w:u w:val="single"/>
          <w:lang w:eastAsia="pl-PL"/>
        </w:rPr>
        <w:t>Nie dopuszcza się wykonania zbiorników z innych materiałów.</w:t>
      </w:r>
      <w:r w:rsidR="00D3199D"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 Każdy zbiornik posiada niżej podane parametry technologiczne:</w:t>
      </w:r>
    </w:p>
    <w:p w14:paraId="694DF2D1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Pojemność czynna 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</w:r>
      <w:proofErr w:type="spellStart"/>
      <w:r w:rsidRPr="0002770A">
        <w:rPr>
          <w:rFonts w:asciiTheme="minorHAnsi" w:eastAsia="Times New Roman" w:hAnsiTheme="minorHAnsi" w:cstheme="minorHAnsi"/>
          <w:kern w:val="0"/>
          <w:lang w:eastAsia="pl-PL"/>
        </w:rPr>
        <w:t>Vcz</w:t>
      </w:r>
      <w:proofErr w:type="spellEnd"/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= 100m</w:t>
      </w:r>
      <w:r w:rsidRPr="0002770A">
        <w:rPr>
          <w:rFonts w:asciiTheme="minorHAnsi" w:eastAsia="Times New Roman" w:hAnsiTheme="minorHAnsi" w:cstheme="minorHAnsi"/>
          <w:kern w:val="0"/>
          <w:vertAlign w:val="superscript"/>
          <w:lang w:eastAsia="pl-PL"/>
        </w:rPr>
        <w:t>3</w:t>
      </w:r>
    </w:p>
    <w:p w14:paraId="6E693DED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Średnica zbiornika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sym w:font="Symbol" w:char="F0C6"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= ID 2500</w:t>
      </w:r>
    </w:p>
    <w:p w14:paraId="56798C8E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Długość zbiornika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ab/>
        <w:t>L = 22m (bez dennic)</w:t>
      </w:r>
    </w:p>
    <w:p w14:paraId="10120D50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Instalacja do dozowania odcieków z rur PE100, SDR17, D90x5,4mm z zasuwami odcinającymi i zwrotnymi oraz instalacją do recyrkulacji odcieków wewnątrz zbiornika</w:t>
      </w:r>
    </w:p>
    <w:p w14:paraId="1F9574DB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Podest do montażu pompy tłoczącej odcieki</w:t>
      </w:r>
    </w:p>
    <w:p w14:paraId="43B0B147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Włazy technologiczne o średnicy 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sym w:font="Symbol" w:char="F0C6"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1200mm szt.2</w:t>
      </w:r>
    </w:p>
    <w:p w14:paraId="6C8DC1B7" w14:textId="77777777" w:rsidR="00D3199D" w:rsidRPr="0002770A" w:rsidRDefault="00D3199D" w:rsidP="00D3199D">
      <w:pPr>
        <w:numPr>
          <w:ilvl w:val="0"/>
          <w:numId w:val="1"/>
        </w:numPr>
        <w:spacing w:before="40" w:after="0" w:line="240" w:lineRule="auto"/>
        <w:ind w:left="993" w:right="238" w:hanging="56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Wentylacja grawitacyjna zbiornika – przewód PVC 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sym w:font="Symbol" w:char="F0C6"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110mm</w:t>
      </w:r>
    </w:p>
    <w:p w14:paraId="154D69EB" w14:textId="77777777" w:rsidR="00D3199D" w:rsidRPr="0002770A" w:rsidRDefault="00D3199D" w:rsidP="00D3199D">
      <w:pPr>
        <w:spacing w:before="40" w:after="0"/>
        <w:ind w:right="23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5E50727" w14:textId="77777777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Poniżej przekrój i widok zbiornika retencyjnego. </w:t>
      </w:r>
    </w:p>
    <w:p w14:paraId="4E505881" w14:textId="77777777" w:rsidR="00D3199D" w:rsidRPr="0002770A" w:rsidRDefault="00D3199D" w:rsidP="00D3199D">
      <w:pPr>
        <w:spacing w:before="120" w:after="0"/>
        <w:ind w:right="23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w:drawing>
          <wp:inline distT="0" distB="0" distL="0" distR="0" wp14:anchorId="406E9986" wp14:editId="6E047B59">
            <wp:extent cx="6090920" cy="16141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37EF" w14:textId="77777777" w:rsidR="00D3199D" w:rsidRPr="0002770A" w:rsidRDefault="00D3199D" w:rsidP="00D3199D">
      <w:pPr>
        <w:spacing w:before="120" w:after="0"/>
        <w:ind w:right="238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w:lastRenderedPageBreak/>
        <w:drawing>
          <wp:inline distT="0" distB="0" distL="0" distR="0" wp14:anchorId="3CFD0516" wp14:editId="51B8EB4B">
            <wp:extent cx="6090920" cy="242506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BB52" w14:textId="77777777" w:rsidR="00D3199D" w:rsidRPr="0002770A" w:rsidRDefault="00D3199D" w:rsidP="00D3199D">
      <w:pPr>
        <w:shd w:val="clear" w:color="auto" w:fill="FFFFFF"/>
        <w:spacing w:before="60" w:after="0"/>
        <w:ind w:firstLine="709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Do wykonania zbiorników dopuszcza się zastosowanie rur nawojowych FW GRP ID2500 o grubości ścianki 49mm. Rury zastosowane do budowy zbiorników i pompowni muszą być o stałych parametrach i jednakowym module elastyczności na całej długości profilu. Ze względu na szczególnie możliwy agresywny charakter odcieków rury muszą być wykonane z żywicy winyloestrowej, włókna szklanego o podwyższonej odporności na korozję E-CR i piasku kwarcowego. Nie dopuszcza się zastosowania rur, modułów żebrowanych. Minimalne grubości ścianek zgodnie z projektem i rysunkami. Rury GRP powinny być wyposażone w uszczelki o pełnym, litym  przekroju bez pustki powietrznej wykonane z EPDM lub SBR. Połączenia systemowe producenta z uszczelnieniem EPDM lub SBR o wytrzymałości PN1 bar.</w:t>
      </w:r>
    </w:p>
    <w:p w14:paraId="2874F70E" w14:textId="77777777" w:rsidR="00D3199D" w:rsidRPr="0002770A" w:rsidRDefault="00D3199D" w:rsidP="00D3199D">
      <w:pPr>
        <w:shd w:val="clear" w:color="auto" w:fill="FFFFFF"/>
        <w:spacing w:before="60" w:after="0"/>
        <w:ind w:firstLine="709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Rury GRP powinny się charakteryzować parametrami nie gorszymi niż:</w:t>
      </w:r>
    </w:p>
    <w:p w14:paraId="2A36ABC1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początkowa wytrzymałość na zginanie w kierunku obwodowym ≥ 260 MPa badana wg PN-EN ISO 178: 2011/A1:2013  </w:t>
      </w:r>
    </w:p>
    <w:p w14:paraId="0E67D286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długotrwała wytrzymałość na zginanie w kierunku obwodowym ≥ 170 MPa, badana wg PN-EN ISO 16611:2018</w:t>
      </w:r>
    </w:p>
    <w:p w14:paraId="40041620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wytrzymałość na ściskanie w kierunku osiowym ≥ 90 MPa, badana wg PN-ISO 25780:2013 </w:t>
      </w:r>
    </w:p>
    <w:p w14:paraId="77D1B359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krótkotrwała wzdłużna wytrzymałość na rozciąganie ≥ 30 MPa, badana wg PN-EN 1393:2002</w:t>
      </w:r>
    </w:p>
    <w:p w14:paraId="42DA427C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początkowy moduł sprężystości przy zginaniu ≥ 11800 MPa badany wg PN-EN ISO 178:2011/A1:2013</w:t>
      </w:r>
    </w:p>
    <w:p w14:paraId="4A357147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długotrwały moduł sprężystości przy zginaniu ≥ 8000 MPa, badany wg ISO 10468: 2018</w:t>
      </w:r>
    </w:p>
    <w:p w14:paraId="7F478FA6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wskaźnik pełzania w środowisku wodnym 0,77 badany wg ISO 10468:2018</w:t>
      </w:r>
    </w:p>
    <w:p w14:paraId="775ED1DB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Współczynnik chropowatości powierzchni ≤ 0,002 badany wg PN-EN ISO 4287:1999/A1:2010 </w:t>
      </w:r>
    </w:p>
    <w:p w14:paraId="0BA5B6D2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odporność na ścieranie po 200 000 cykli ≤ 0,1 mm badany wg PN-EN 295-3:2012</w:t>
      </w:r>
    </w:p>
    <w:p w14:paraId="6F635E4B" w14:textId="77777777" w:rsidR="00D3199D" w:rsidRPr="0002770A" w:rsidRDefault="00D3199D" w:rsidP="00D3199D">
      <w:pPr>
        <w:shd w:val="clear" w:color="auto" w:fill="FFFFFF"/>
        <w:spacing w:before="60" w:after="0"/>
        <w:ind w:firstLine="709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2255270" w14:textId="77777777" w:rsidR="00D3199D" w:rsidRPr="0002770A" w:rsidRDefault="00D3199D" w:rsidP="00D3199D">
      <w:pPr>
        <w:shd w:val="clear" w:color="auto" w:fill="FFFFFF"/>
        <w:spacing w:after="0"/>
        <w:ind w:firstLine="709"/>
        <w:jc w:val="both"/>
        <w:rPr>
          <w:rFonts w:asciiTheme="minorHAnsi" w:eastAsia="Times New Roman" w:hAnsiTheme="minorHAnsi" w:cstheme="minorHAnsi"/>
          <w:color w:val="222222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color w:val="222222"/>
          <w:kern w:val="0"/>
          <w:lang w:eastAsia="pl-PL"/>
        </w:rPr>
        <w:t>Komin włazowy stanowi rura GRP, która połączona jest w sposób szczelny z podstawą studni za pomocą łącznika GRP.</w:t>
      </w:r>
    </w:p>
    <w:p w14:paraId="7CD881CE" w14:textId="77777777" w:rsidR="00D3199D" w:rsidRPr="0002770A" w:rsidRDefault="00D3199D" w:rsidP="00D3199D">
      <w:pPr>
        <w:shd w:val="clear" w:color="auto" w:fill="FFFFFF"/>
        <w:spacing w:after="0"/>
        <w:ind w:firstLine="709"/>
        <w:jc w:val="both"/>
        <w:rPr>
          <w:rFonts w:asciiTheme="minorHAnsi" w:eastAsia="Times New Roman" w:hAnsiTheme="minorHAnsi" w:cstheme="minorHAnsi"/>
          <w:color w:val="222222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color w:val="222222"/>
          <w:kern w:val="0"/>
          <w:lang w:eastAsia="pl-PL"/>
        </w:rPr>
        <w:t>Jeśli wysokość studzienki Hs&lt; 3,0m, istnieje możliwość dostawy studzienki w całości bez łącznika GRP komina włazowego.</w:t>
      </w:r>
    </w:p>
    <w:p w14:paraId="18F8A3FD" w14:textId="77777777" w:rsidR="00D3199D" w:rsidRPr="0002770A" w:rsidRDefault="00D3199D" w:rsidP="00D3199D">
      <w:pPr>
        <w:shd w:val="clear" w:color="auto" w:fill="FFFFFF"/>
        <w:spacing w:after="0"/>
        <w:ind w:firstLine="709"/>
        <w:jc w:val="both"/>
        <w:rPr>
          <w:rFonts w:asciiTheme="minorHAnsi" w:eastAsia="Times New Roman" w:hAnsiTheme="minorHAnsi" w:cstheme="minorHAnsi"/>
          <w:color w:val="222222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color w:val="222222"/>
          <w:kern w:val="0"/>
          <w:lang w:eastAsia="pl-PL"/>
        </w:rPr>
        <w:t xml:space="preserve">Studnia włazowa i montażowa pompy powinna być wyposażona w pokrywy wykonane z żywicy poliestrowej zbrojonej włóknem szklanym ECR z wypełniaczem obojętnym z czystego piasku kwarcowego lub zamiennie jako płyty pokrywowe żelbetowe z zabezpieczeniem od wewnątrz powłoką dwuskładnikową żywiczno-smołową. </w:t>
      </w:r>
    </w:p>
    <w:p w14:paraId="4B248B90" w14:textId="77777777" w:rsidR="00D3199D" w:rsidRPr="0002770A" w:rsidRDefault="00D3199D" w:rsidP="00D3199D">
      <w:pPr>
        <w:spacing w:before="40" w:after="0"/>
        <w:ind w:right="1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lastRenderedPageBreak/>
        <w:t>Zbiorniki mus</w:t>
      </w:r>
      <w:r w:rsidR="00E60445" w:rsidRPr="0002770A">
        <w:rPr>
          <w:rFonts w:asciiTheme="minorHAnsi" w:eastAsia="Times New Roman" w:hAnsiTheme="minorHAnsi" w:cstheme="minorHAnsi"/>
          <w:kern w:val="0"/>
          <w:lang w:eastAsia="pl-PL"/>
        </w:rPr>
        <w:t>z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>ą spełniać dodatkowy warunek możliwego demontażu i zabudowy w innej lokalizacji.</w:t>
      </w:r>
    </w:p>
    <w:p w14:paraId="540AFA7D" w14:textId="77777777" w:rsidR="00D3199D" w:rsidRPr="0002770A" w:rsidRDefault="00D3199D" w:rsidP="00D3199D">
      <w:pPr>
        <w:spacing w:after="0"/>
        <w:ind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4386BD2" w14:textId="4D2EF6E6" w:rsidR="00D3199D" w:rsidRPr="0002770A" w:rsidRDefault="00D3199D" w:rsidP="0002770A">
      <w:pPr>
        <w:tabs>
          <w:tab w:val="left" w:pos="1134"/>
        </w:tabs>
        <w:spacing w:before="80"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2.</w:t>
      </w:r>
      <w:r w:rsidR="0002770A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</w:t>
      </w:r>
      <w:r w:rsidRPr="0002770A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Pompownia odcieków</w:t>
      </w:r>
    </w:p>
    <w:p w14:paraId="438D2C08" w14:textId="44408D76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Pompownię</w:t>
      </w:r>
      <w:r w:rsidR="00583003">
        <w:rPr>
          <w:rFonts w:asciiTheme="minorHAnsi" w:eastAsia="Times New Roman" w:hAnsiTheme="minorHAnsi" w:cstheme="minorHAnsi"/>
          <w:kern w:val="0"/>
          <w:lang w:eastAsia="pl-PL"/>
        </w:rPr>
        <w:t xml:space="preserve"> odcieków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zaprojektowano jako zbiornik monolityczny z GRP o podwyższonej odporności chemicznej, posadowiony, kotwiony do płyty betonowej z betonu C16/20. </w:t>
      </w:r>
      <w:r w:rsidRPr="0002770A">
        <w:rPr>
          <w:rFonts w:asciiTheme="minorHAnsi" w:eastAsia="Times New Roman" w:hAnsiTheme="minorHAnsi" w:cstheme="minorHAnsi"/>
          <w:kern w:val="0"/>
          <w:u w:val="single"/>
          <w:lang w:eastAsia="pl-PL"/>
        </w:rPr>
        <w:t>Nie dopuszcza się wykonania zbiorników z innych materiałów.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 </w:t>
      </w:r>
    </w:p>
    <w:p w14:paraId="19DF1975" w14:textId="77777777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Poniżej przekrój i widok pompowni. </w:t>
      </w:r>
    </w:p>
    <w:p w14:paraId="1EE05C39" w14:textId="77777777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EF8" wp14:editId="09D8E7F4">
                <wp:simplePos x="0" y="0"/>
                <wp:positionH relativeFrom="column">
                  <wp:posOffset>2262505</wp:posOffset>
                </wp:positionH>
                <wp:positionV relativeFrom="paragraph">
                  <wp:posOffset>2540000</wp:posOffset>
                </wp:positionV>
                <wp:extent cx="137160" cy="17526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6804E" id="Prostokąt 10" o:spid="_x0000_s1026" style="position:absolute;margin-left:178.15pt;margin-top:200pt;width:10.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vb5AEAALQDAAAOAAAAZHJzL2Uyb0RvYy54bWysU9uO2yAQfa/Uf0C8N47T7Ka14qxWWaWq&#10;tL1I234AxmCjYoYOJE769R1wNhu1b1X9gBhm5jDncLy+Ow6WHRQGA67m5WzOmXISWuO6mn//tnvz&#10;jrMQhWuFBadqflKB321ev1qPvlIL6MG2ChmBuFCNvuZ9jL4qiiB7NYgwA68cJTXgICKF2BUtipHQ&#10;B1ss5vPbYgRsPYJUIdDpw5Tkm4yvtZLxi9ZBRWZrTrPFvGJem7QWm7WoOhS+N/I8hviHKQZhHF16&#10;gXoQUbA9mr+gBiMRAug4kzAUoLWRKnMgNuX8DzZPvfAqcyFxgr/IFP4frPx8ePJfMY0e/CPIH4E5&#10;2PbCdeoeEcZeiZauK5NQxehDdWlIQaBW1oyfoKWnFfsIWYOjxiEBEjt2zFKfLlKrY2SSDsu3q/KW&#10;HkRSqlzdLGifbhDVc7PHED8oGFja1BzpJTO4ODyGOJU+l+ThwZp2Z6zNAXbN1iI7CHr1Xf7O6OG6&#10;zLpU7CC1TYjpJLNMxJKHQtVAeyKSCJN1yOq06QF/cTaSbWoefu4FKs7sR0dCvS+Xy+SzHCxvVgsK&#10;8DrTXGeEkwRV88jZtN3GyZt7j6br6aYyk3ZwT+Jqk4m/THUelqyRpTvbOHnvOs5VLz/b5jcAAAD/&#10;/wMAUEsDBBQABgAIAAAAIQCSnPQy4AAAAAsBAAAPAAAAZHJzL2Rvd25yZXYueG1sTI/BTsMwDIbv&#10;SLxDZCRuLGHdWtY1nRDSTsCBDYmr12RttcYpTbqVt8ec2NH2p9/fX2wm14mzHULrScPjTIGwVHnT&#10;Uq3hc799eAIRIpLBzpPV8GMDbMrbmwJz4y/0Yc+7WAsOoZCjhibGPpcyVI11GGa+t8S3ox8cRh6H&#10;WpoBLxzuOjlXKpUOW+IPDfb2pbHVaTc6DZguzPf7MXnbv44prupJbZdfSuv7u+l5DSLaKf7D8KfP&#10;6lCy08GPZILoNCTLNGFUw0IpLsVEkmUrEAfezLMUZFnI6w7lLwAAAP//AwBQSwECLQAUAAYACAAA&#10;ACEAtoM4kv4AAADhAQAAEwAAAAAAAAAAAAAAAAAAAAAAW0NvbnRlbnRfVHlwZXNdLnhtbFBLAQIt&#10;ABQABgAIAAAAIQA4/SH/1gAAAJQBAAALAAAAAAAAAAAAAAAAAC8BAABfcmVscy8ucmVsc1BLAQIt&#10;ABQABgAIAAAAIQAjMevb5AEAALQDAAAOAAAAAAAAAAAAAAAAAC4CAABkcnMvZTJvRG9jLnhtbFBL&#10;AQItABQABgAIAAAAIQCSnPQy4AAAAAsBAAAPAAAAAAAAAAAAAAAAAD4EAABkcnMvZG93bnJldi54&#10;bWxQSwUGAAAAAAQABADzAAAASwUAAAAA&#10;" stroked="f"/>
            </w:pict>
          </mc:Fallback>
        </mc:AlternateContent>
      </w: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73688" wp14:editId="0403F6C5">
                <wp:simplePos x="0" y="0"/>
                <wp:positionH relativeFrom="column">
                  <wp:posOffset>380365</wp:posOffset>
                </wp:positionH>
                <wp:positionV relativeFrom="paragraph">
                  <wp:posOffset>855980</wp:posOffset>
                </wp:positionV>
                <wp:extent cx="259080" cy="175260"/>
                <wp:effectExtent l="0" t="1905" r="0" b="381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5296" id="Prostokąt 9" o:spid="_x0000_s1026" style="position:absolute;margin-left:29.95pt;margin-top:67.4pt;width:20.4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Xi5wEAALQDAAAOAAAAZHJzL2Uyb0RvYy54bWysU9tu2zAMfR+wfxD0vjgOkl6MOEWRIsOA&#10;bivQ7QMYWbaFyaJGKXG6rx+lpGmwvQ3zgyCK4tE55PHy7jBYsdcUDLpalpOpFNopbIzravn92+bD&#10;jRQhgmvAotO1fNFB3q3ev1uOvtIz7NE2mgSDuFCNvpZ9jL4qiqB6PUCYoNeOky3SAJFD6oqGYGT0&#10;wRaz6fSqGJEaT6h0CHz6cEzKVcZvW63i17YNOgpbS+YW80p53aa1WC2h6gh8b9SJBvwDiwGM40fP&#10;UA8QQezI/AU1GEUYsI0ThUOBbWuUzhpYTTn9Q81zD15nLdyc4M9tCv8PVn3ZP/snStSDf0T1IwiH&#10;6x5cp++JcOw1NPxcmRpVjD5U54IUBC4V2/EzNjxa2EXMPTi0NCRAVicOudUv51brQxSKD2eL2+kN&#10;D0RxqrxezK7yKAqoXos9hfhR4yDSppbEk8zgsH8MMZGB6vVKJo/WNBtjbQ6o264tiT3w1Df5y/xZ&#10;4+U169Jlh6nsiJhOssokLHkoVFtsXlgk4dE6bHXe9Ei/pBjZNrUMP3dAWgr7yXGjbsv5PPksB/PF&#10;9YwDusxsLzPgFEPVMkpx3K7j0Zs7T6br+aUyi3Z4z81tTRb+xupElq2R+3GycfLeZZxvvf1sq98A&#10;AAD//wMAUEsDBBQABgAIAAAAIQCnljnW3gAAAAoBAAAPAAAAZHJzL2Rvd25yZXYueG1sTI9BT8Mw&#10;DIXvSPyHyEjcWMLWlbVrOiGknYADGxJXr8naisYpTbqVf493Yjfb7+n5e8Vmcp042SG0njQ8zhQI&#10;S5U3LdUaPvfbhxWIEJEMdp6shl8bYFPe3hSYG3+mD3vaxVpwCIUcNTQx9rmUoWqswzDzvSXWjn5w&#10;GHkdamkGPHO46+RcqVQ6bIk/NNjbl8ZW37vRacA0MT/vx8Xb/nVMMasntV1+Ka3v76bnNYhop/hv&#10;hgs+o0PJTAc/kgmi07DMMnbyfZFwhYtBqScQBx7SeQKyLOR1hfIPAAD//wMAUEsBAi0AFAAGAAgA&#10;AAAhALaDOJL+AAAA4QEAABMAAAAAAAAAAAAAAAAAAAAAAFtDb250ZW50X1R5cGVzXS54bWxQSwEC&#10;LQAUAAYACAAAACEAOP0h/9YAAACUAQAACwAAAAAAAAAAAAAAAAAvAQAAX3JlbHMvLnJlbHNQSwEC&#10;LQAUAAYACAAAACEAVN5F4ucBAAC0AwAADgAAAAAAAAAAAAAAAAAuAgAAZHJzL2Uyb0RvYy54bWxQ&#10;SwECLQAUAAYACAAAACEAp5Y51t4AAAAKAQAADwAAAAAAAAAAAAAAAABBBAAAZHJzL2Rvd25yZXYu&#10;eG1sUEsFBgAAAAAEAAQA8wAAAEwFAAAAAA==&#10;" stroked="f"/>
            </w:pict>
          </mc:Fallback>
        </mc:AlternateContent>
      </w: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EA49B" wp14:editId="5D9D9B42">
                <wp:simplePos x="0" y="0"/>
                <wp:positionH relativeFrom="column">
                  <wp:posOffset>2094865</wp:posOffset>
                </wp:positionH>
                <wp:positionV relativeFrom="paragraph">
                  <wp:posOffset>894080</wp:posOffset>
                </wp:positionV>
                <wp:extent cx="259080" cy="137160"/>
                <wp:effectExtent l="0" t="1905" r="0" b="38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7BB7" id="Prostokąt 8" o:spid="_x0000_s1026" style="position:absolute;margin-left:164.95pt;margin-top:70.4pt;width:20.4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Mk5gEAALQDAAAOAAAAZHJzL2Uyb0RvYy54bWysU8uO2zAMvBfoPwi6N47T7MuIs1hkkaLA&#10;9gFs+wGMLNtCZVGllDjp15dSstmgvRX1QRBFcTRDjhf3+8GKnaZg0NWynEyl0E5hY1xXy+/f1u9u&#10;pQgRXAMWna7lQQd5v3z7ZjH6Ss+wR9toEgziQjX6WvYx+qoogur1AGGCXjtOtkgDRA6pKxqCkdEH&#10;W8ym0+tiRGo8odIh8OnjMSmXGb9ttYpf2jboKGwtmVvMK+V1k9ZiuYCqI/C9USca8A8sBjCOHz1D&#10;PUIEsSXzF9RgFGHANk4UDgW2rVE6a2A15fQPNc89eJ21cHOCP7cp/D9Y9Xn37L9Soh78E6ofQThc&#10;9eA6/UCEY6+h4efK1Khi9KE6F6QgcKnYjJ+w4dHCNmLuwb6lIQGyOrHPrT6cW633USg+nF3dTW95&#10;IIpT5fub8jqPooDqpdhTiB80DiJtakk8yQwOu6cQExmoXq5k8mhNszbW5oC6zcqS2AFPfZ2/zJ81&#10;Xl6zLl12mMqOiOkkq0zCkodCtcHmwCIJj9Zhq/OmR/olxci2qWX4uQXSUtiPjht1V87nyWc5mF/d&#10;zDigy8zmMgNOMVQtoxTH7Soevbn1ZLqeXyqzaIcP3NzWZOGvrE5k2Rq5HycbJ+9dxvnW68+2/A0A&#10;AP//AwBQSwMEFAAGAAgAAAAhAOcC5bPfAAAACwEAAA8AAABkcnMvZG93bnJldi54bWxMj8FOwzAQ&#10;RO9I/IO1SNyoTRJSEuJUCKkn4ECLxHUbb5OI2A6x04a/ZznBcWeeZmeqzWIHcaIp9N5puF0pEOQa&#10;b3rXanjfb2/uQYSIzuDgHWn4pgCb+vKiwtL4s3uj0y62gkNcKFFDF+NYShmajiyGlR/JsXf0k8XI&#10;59RKM+GZw+0gE6VyabF3/KHDkZ46aj53s9WAeWa+Xo/py/55zrFoF7W9+1BaX18tjw8gIi3xD4bf&#10;+lwdau508LMzQQwa0qQoGGUjU7yBiXSt1iAOrORJBrKu5P8N9Q8AAAD//wMAUEsBAi0AFAAGAAgA&#10;AAAhALaDOJL+AAAA4QEAABMAAAAAAAAAAAAAAAAAAAAAAFtDb250ZW50X1R5cGVzXS54bWxQSwEC&#10;LQAUAAYACAAAACEAOP0h/9YAAACUAQAACwAAAAAAAAAAAAAAAAAvAQAAX3JlbHMvLnJlbHNQSwEC&#10;LQAUAAYACAAAACEApFPDJOYBAAC0AwAADgAAAAAAAAAAAAAAAAAuAgAAZHJzL2Uyb0RvYy54bWxQ&#10;SwECLQAUAAYACAAAACEA5wLls98AAAALAQAADwAAAAAAAAAAAAAAAABABAAAZHJzL2Rvd25yZXYu&#10;eG1sUEsFBgAAAAAEAAQA8wAAAEwFAAAAAA==&#10;" stroked="f"/>
            </w:pict>
          </mc:Fallback>
        </mc:AlternateContent>
      </w: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A21BA" wp14:editId="56CC7B84">
                <wp:simplePos x="0" y="0"/>
                <wp:positionH relativeFrom="column">
                  <wp:posOffset>1607185</wp:posOffset>
                </wp:positionH>
                <wp:positionV relativeFrom="paragraph">
                  <wp:posOffset>17780</wp:posOffset>
                </wp:positionV>
                <wp:extent cx="914400" cy="137160"/>
                <wp:effectExtent l="0" t="1905" r="1905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1FCF" id="Prostokąt 7" o:spid="_x0000_s1026" style="position:absolute;margin-left:126.55pt;margin-top:1.4pt;width:1in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Ej5QEAALQDAAAOAAAAZHJzL2Uyb0RvYy54bWysU8Fu2zAMvQ/YPwi6L46zrN2MOEWRIsOA&#10;bh3Q9QMYWbaFyaJGKXGyrx+lpGmw3ob5IIii+PQe+by42Q9W7DQFg66W5WQqhXYKG+O6Wj79WL/7&#10;KEWI4Bqw6HQtDzrIm+XbN4vRV3qGPdpGk2AQF6rR17KP0VdFEVSvBwgT9NpxskUaIHJIXdEQjIw+&#10;2GI2nV4VI1LjCZUOgU/vjkm5zPhtq1V8aNugo7C1ZG4xr5TXTVqL5QKqjsD3Rp1owD+wGMA4fvQM&#10;dQcRxJbMK6jBKMKAbZwoHApsW6N01sBqyulfah578Dpr4eYEf25T+H+w6tvu0X+nRD34e1Q/g3C4&#10;6sF1+pYIx15Dw8+VqVHF6EN1LkhB4FKxGb9iw6OFbcTcg31LQwJkdWKfW304t1rvo1B8+Kmcz6c8&#10;EMWp8v11eZVHUUD1XOwpxM8aB5E2tSSeZAaH3X2IiQxUz1cyebSmWRtrc0DdZmVJ7ICnvs5f5s8a&#10;L69Zly47TGVHxHSSVSZhyUOh2mBzYJGER+uw1XnTI/2WYmTb1DL82gJpKewXx43KuthnOZh/uJ6x&#10;RrrMbC4z4BRD1TJKcdyu4tGbW0+m6/mlMot2eMvNbU0W/sLqRJatkftxsnHy3mWcb738bMs/AAAA&#10;//8DAFBLAwQUAAYACAAAACEALqq0idwAAAAIAQAADwAAAGRycy9kb3ducmV2LnhtbEyPwU7DMBBE&#10;70j8g7VI3KjdJg1tGqdCSD0BB1okrtt4m0TEdoidNvw9y4nedjSj2TfFdrKdONMQWu80zGcKBLnK&#10;m9bVGj4Ou4cViBDRGey8Iw0/FGBb3t4UmBt/ce903sdacIkLOWpoYuxzKUPVkMUw8z059k5+sBhZ&#10;DrU0A1643HZyoVQmLbaOPzTY03ND1dd+tBowS8332yl5PbyMGa7rSe2Wn0rr+7vpaQMi0hT/w/CH&#10;z+hQMtPRj84E0WlYLJM5R/ngBewn60fWR9ZpCrIs5PWA8hcAAP//AwBQSwECLQAUAAYACAAAACEA&#10;toM4kv4AAADhAQAAEwAAAAAAAAAAAAAAAAAAAAAAW0NvbnRlbnRfVHlwZXNdLnhtbFBLAQItABQA&#10;BgAIAAAAIQA4/SH/1gAAAJQBAAALAAAAAAAAAAAAAAAAAC8BAABfcmVscy8ucmVsc1BLAQItABQA&#10;BgAIAAAAIQC/VVEj5QEAALQDAAAOAAAAAAAAAAAAAAAAAC4CAABkcnMvZTJvRG9jLnhtbFBLAQIt&#10;ABQABgAIAAAAIQAuqrSJ3AAAAAgBAAAPAAAAAAAAAAAAAAAAAD8EAABkcnMvZG93bnJldi54bWxQ&#10;SwUGAAAAAAQABADzAAAASAUAAAAA&#10;" stroked="f"/>
            </w:pict>
          </mc:Fallback>
        </mc:AlternateContent>
      </w: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w:drawing>
          <wp:inline distT="0" distB="0" distL="0" distR="0" wp14:anchorId="7DAB5177" wp14:editId="30614342">
            <wp:extent cx="1844675" cy="3347720"/>
            <wp:effectExtent l="0" t="0" r="3175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                      </w:t>
      </w:r>
      <w:r w:rsidRPr="0002770A">
        <w:rPr>
          <w:rFonts w:asciiTheme="minorHAnsi" w:eastAsia="Times New Roman" w:hAnsiTheme="minorHAnsi" w:cstheme="minorHAnsi"/>
          <w:noProof/>
          <w:kern w:val="0"/>
          <w:lang w:eastAsia="pl-PL"/>
        </w:rPr>
        <w:drawing>
          <wp:inline distT="0" distB="0" distL="0" distR="0" wp14:anchorId="1E5E0CBA" wp14:editId="191AF591">
            <wp:extent cx="1685925" cy="3244215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AB75" w14:textId="48D4DFF4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Pompownia wyposażona będzie w pokrywę (strop) betonowy i płytę odciążającą z betonu C35/45 z włazem ze stali AISI 316 o wymiarach 2 x 0,6x0,5m. Pokrywę wyposażyć w wywietrzak o średnicy </w:t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sym w:font="Symbol" w:char="F0C6"/>
      </w:r>
      <w:r w:rsidRPr="0002770A">
        <w:rPr>
          <w:rFonts w:asciiTheme="minorHAnsi" w:eastAsia="Times New Roman" w:hAnsiTheme="minorHAnsi" w:cstheme="minorHAnsi"/>
          <w:kern w:val="0"/>
          <w:lang w:eastAsia="pl-PL"/>
        </w:rPr>
        <w:t xml:space="preserve">100mm ze stali 0H18N9. </w:t>
      </w:r>
    </w:p>
    <w:p w14:paraId="1F447C8D" w14:textId="77777777" w:rsidR="00D3199D" w:rsidRPr="0002770A" w:rsidRDefault="00D3199D" w:rsidP="00D3199D">
      <w:pPr>
        <w:shd w:val="clear" w:color="auto" w:fill="FFFFFF"/>
        <w:spacing w:before="60" w:after="0"/>
        <w:ind w:firstLine="709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Do wykonania obudowy pompowni dopuszcza się zastosowanie rur nawojowych FW GRP ID2176 o grubości ścianki 38mm. Rury zastosowane do budowy zbiorników i pompowni muszą być o stałych parametrach i jednakowym module elastyczności na całej długości profilu. Ze względu na szczególnie możliwy agresywny charakter odcieków rury muszą być wykonane z żywicy winyloestrowej, włókna szklanego o podwyższonej odporności na korozję E-CR i piasku kwarcowego. Nie dopuszcza się zastosowania rur, modułów żebrowanych. Minimalne grubości ścianek zgodnie z projektem i rysunkami. Rury GRP powinny być wyposażone w uszczelki o pełnym, litym  przekroju bez pustki powietrznej wykonane z EPDM lub SBR. Połączenia systemowe producenta z uszczelnieniem EPDM lub SBR o wytrzymałości PN1 bar.</w:t>
      </w:r>
    </w:p>
    <w:p w14:paraId="216AE6EB" w14:textId="77777777" w:rsidR="00D3199D" w:rsidRPr="0002770A" w:rsidRDefault="00D3199D" w:rsidP="00D3199D">
      <w:pPr>
        <w:shd w:val="clear" w:color="auto" w:fill="FFFFFF"/>
        <w:spacing w:before="60" w:after="0"/>
        <w:ind w:firstLine="709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Rury GRP powinny się charakteryzować parametrami nie gorszymi niż:</w:t>
      </w:r>
    </w:p>
    <w:p w14:paraId="1D2999F8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początkowa wytrzymałość na zginanie w kierunku obwodowym ≥ 260 MPa badana wg PN-EN ISO 178: 2011/A1:2013  </w:t>
      </w:r>
    </w:p>
    <w:p w14:paraId="60047557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długotrwała wytrzymałość na zginanie w kierunku obwodowym ≥ 170 MPa, badana wg PN-EN ISO 16611:2018</w:t>
      </w:r>
    </w:p>
    <w:p w14:paraId="261677EE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wytrzymałość na ściskanie w kierunku osiowym ≥ 90 MPa, badana wg PN-ISO 25780:2013 </w:t>
      </w:r>
    </w:p>
    <w:p w14:paraId="47039976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lastRenderedPageBreak/>
        <w:t>• krótkotrwała wzdłużna wytrzymałość na rozciąganie ≥ 30 MPa, badana wg PN-EN 1393:2002</w:t>
      </w:r>
    </w:p>
    <w:p w14:paraId="70231FF4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początkowy moduł sprężystości przy zginaniu ≥ 11800 MPa badany wg PN-EN ISO 178:2011/A1:2013</w:t>
      </w:r>
    </w:p>
    <w:p w14:paraId="0E8DB68D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długotrwały moduł sprężystości przy zginaniu ≥ 8000 MPa, badany wg ISO 10468: 2018</w:t>
      </w:r>
    </w:p>
    <w:p w14:paraId="6DA0E9B4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wskaźnik pełzania w środowisku wodnym 0,77 badany wg ISO 10468:2018</w:t>
      </w:r>
    </w:p>
    <w:p w14:paraId="51329E38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• Współczynnik chropowatości powierzchni ≤ 0,002 badany wg PN-EN ISO 4287:1999/A1:2010 </w:t>
      </w:r>
    </w:p>
    <w:p w14:paraId="1DEC9FB1" w14:textId="77777777" w:rsidR="00D3199D" w:rsidRPr="0002770A" w:rsidRDefault="00D3199D" w:rsidP="00D3199D">
      <w:pPr>
        <w:shd w:val="clear" w:color="auto" w:fill="FFFFFF"/>
        <w:spacing w:before="60" w:after="0"/>
        <w:ind w:left="567" w:hanging="425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bCs/>
          <w:kern w:val="0"/>
          <w:lang w:eastAsia="pl-PL"/>
        </w:rPr>
        <w:t>• odporność na ścieranie po 200 000 cykli ≤ 0,1 mm badany wg PN-EN 295-3:2012</w:t>
      </w:r>
    </w:p>
    <w:p w14:paraId="19B6F882" w14:textId="70BDFCD6" w:rsidR="00D3199D" w:rsidRPr="0002770A" w:rsidRDefault="00D3199D" w:rsidP="00D3199D">
      <w:pPr>
        <w:spacing w:before="120" w:after="0"/>
        <w:ind w:right="238" w:firstLine="709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2770A">
        <w:rPr>
          <w:rFonts w:asciiTheme="minorHAnsi" w:eastAsia="Times New Roman" w:hAnsiTheme="minorHAnsi" w:cstheme="minorHAnsi"/>
          <w:kern w:val="0"/>
          <w:lang w:eastAsia="pl-PL"/>
        </w:rPr>
        <w:t>Pompownię należy wyposażyć poza pompami w:</w:t>
      </w:r>
    </w:p>
    <w:p w14:paraId="1B685757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Stopy sprzęgające pompy (szt.2)</w:t>
      </w:r>
    </w:p>
    <w:p w14:paraId="0CEB5C5B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Zawór zwrotny kulowy kołnierzowy DN80 – (szt. 2)</w:t>
      </w:r>
    </w:p>
    <w:p w14:paraId="3C42C7EE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Rurociąg tłoczny odcieków PEHD, SDR17, D90x5,6mm</w:t>
      </w:r>
    </w:p>
    <w:p w14:paraId="68FCCA21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 xml:space="preserve">Zasuwa nożowa do zabudowy między kołnierze DN80 </w:t>
      </w:r>
      <w:r w:rsidRPr="0002770A">
        <w:rPr>
          <w:rFonts w:asciiTheme="minorHAnsi" w:hAnsiTheme="minorHAnsi" w:cstheme="minorHAnsi"/>
          <w:color w:val="FF0000"/>
        </w:rPr>
        <w:t xml:space="preserve"> </w:t>
      </w:r>
      <w:r w:rsidRPr="0002770A">
        <w:rPr>
          <w:rFonts w:asciiTheme="minorHAnsi" w:hAnsiTheme="minorHAnsi" w:cstheme="minorHAnsi"/>
        </w:rPr>
        <w:t>- (szt. 2)</w:t>
      </w:r>
    </w:p>
    <w:p w14:paraId="44E33791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Przedłużka wrzeciona zasuwy (L=100cm) wraz ze skrzynką uliczną z regulacja wysokości, - (szt. 2)</w:t>
      </w:r>
    </w:p>
    <w:p w14:paraId="5BD79EE0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 xml:space="preserve">Konstrukcja pompowni z GRP z wyprofilowanym dnem o średnicy </w:t>
      </w:r>
      <w:r w:rsidRPr="0002770A">
        <w:rPr>
          <w:rFonts w:asciiTheme="minorHAnsi" w:hAnsiTheme="minorHAnsi" w:cstheme="minorHAnsi"/>
        </w:rPr>
        <w:sym w:font="Symbol" w:char="F0C6"/>
      </w:r>
      <w:r w:rsidRPr="0002770A">
        <w:rPr>
          <w:rFonts w:asciiTheme="minorHAnsi" w:hAnsiTheme="minorHAnsi" w:cstheme="minorHAnsi"/>
        </w:rPr>
        <w:t xml:space="preserve">2,0m, H </w:t>
      </w:r>
      <w:r w:rsidRPr="0002770A">
        <w:rPr>
          <w:rFonts w:asciiTheme="minorHAnsi" w:hAnsiTheme="minorHAnsi" w:cstheme="minorHAnsi"/>
        </w:rPr>
        <w:sym w:font="Symbol" w:char="F040"/>
      </w:r>
      <w:r w:rsidRPr="0002770A">
        <w:rPr>
          <w:rFonts w:asciiTheme="minorHAnsi" w:hAnsiTheme="minorHAnsi" w:cstheme="minorHAnsi"/>
        </w:rPr>
        <w:t xml:space="preserve"> 5,3m,</w:t>
      </w:r>
    </w:p>
    <w:p w14:paraId="79F6D21C" w14:textId="544D45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Pokrywa żelbetowa pompowni z włazem ze stali kwaso</w:t>
      </w:r>
      <w:r w:rsidR="0002770A">
        <w:rPr>
          <w:rFonts w:asciiTheme="minorHAnsi" w:hAnsiTheme="minorHAnsi" w:cstheme="minorHAnsi"/>
        </w:rPr>
        <w:t>o</w:t>
      </w:r>
      <w:r w:rsidRPr="0002770A">
        <w:rPr>
          <w:rFonts w:asciiTheme="minorHAnsi" w:hAnsiTheme="minorHAnsi" w:cstheme="minorHAnsi"/>
        </w:rPr>
        <w:t xml:space="preserve">dpornej </w:t>
      </w:r>
      <w:r w:rsidRPr="0002770A">
        <w:rPr>
          <w:rFonts w:asciiTheme="minorHAnsi" w:hAnsiTheme="minorHAnsi" w:cstheme="minorHAnsi"/>
          <w:color w:val="202122"/>
          <w:shd w:val="clear" w:color="auto" w:fill="FFFFFF"/>
        </w:rPr>
        <w:t xml:space="preserve">AISI 316 </w:t>
      </w:r>
      <w:r w:rsidRPr="0002770A">
        <w:rPr>
          <w:rFonts w:asciiTheme="minorHAnsi" w:hAnsiTheme="minorHAnsi" w:cstheme="minorHAnsi"/>
        </w:rPr>
        <w:t>o wymiarach 2x (60x50cm) i płytą odciążającą.</w:t>
      </w:r>
    </w:p>
    <w:p w14:paraId="0CE77B1B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Kanał odcieków z kwatery PEHD, SDR17, D250x14,8mm</w:t>
      </w:r>
    </w:p>
    <w:p w14:paraId="276A62E6" w14:textId="77777777" w:rsidR="00D3199D" w:rsidRPr="0002770A" w:rsidRDefault="00D3199D" w:rsidP="00D3199D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 w:rsidRPr="0002770A">
        <w:rPr>
          <w:rFonts w:asciiTheme="minorHAnsi" w:hAnsiTheme="minorHAnsi" w:cstheme="minorHAnsi"/>
        </w:rPr>
        <w:t>Kanał odcieków z placu kompostowego PVC-U, SN 8, D315x9,2mm</w:t>
      </w:r>
    </w:p>
    <w:p w14:paraId="28A66ECD" w14:textId="02B8ADDA" w:rsidR="0002770A" w:rsidRDefault="00583003" w:rsidP="00A91C78">
      <w:pPr>
        <w:numPr>
          <w:ilvl w:val="0"/>
          <w:numId w:val="2"/>
        </w:numPr>
        <w:spacing w:after="0" w:line="240" w:lineRule="auto"/>
        <w:ind w:left="284" w:right="23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3199D" w:rsidRPr="0002770A">
        <w:rPr>
          <w:rFonts w:asciiTheme="minorHAnsi" w:hAnsiTheme="minorHAnsi" w:cstheme="minorHAnsi"/>
        </w:rPr>
        <w:t xml:space="preserve">Wywietrzak ze stali kwasoodpornej </w:t>
      </w:r>
      <w:r w:rsidR="00D3199D" w:rsidRPr="0002770A">
        <w:rPr>
          <w:rFonts w:asciiTheme="minorHAnsi" w:hAnsiTheme="minorHAnsi" w:cstheme="minorHAnsi"/>
        </w:rPr>
        <w:sym w:font="Symbol" w:char="F0C6"/>
      </w:r>
      <w:r w:rsidR="00D3199D" w:rsidRPr="0002770A">
        <w:rPr>
          <w:rFonts w:asciiTheme="minorHAnsi" w:hAnsiTheme="minorHAnsi" w:cstheme="minorHAnsi"/>
        </w:rPr>
        <w:t>100mm</w:t>
      </w:r>
    </w:p>
    <w:p w14:paraId="46D5560F" w14:textId="77777777" w:rsidR="00A91C78" w:rsidRPr="00A91C78" w:rsidRDefault="00A91C78" w:rsidP="00A91C78">
      <w:pPr>
        <w:spacing w:after="0" w:line="240" w:lineRule="auto"/>
        <w:ind w:left="284" w:right="238"/>
        <w:contextualSpacing/>
        <w:jc w:val="both"/>
        <w:rPr>
          <w:rFonts w:asciiTheme="minorHAnsi" w:hAnsiTheme="minorHAnsi" w:cstheme="minorHAnsi"/>
        </w:rPr>
      </w:pPr>
    </w:p>
    <w:p w14:paraId="288A1221" w14:textId="21E34BFD" w:rsidR="00AC3517" w:rsidRPr="00A91C78" w:rsidRDefault="00A91C78" w:rsidP="00A91C78">
      <w:pPr>
        <w:tabs>
          <w:tab w:val="left" w:pos="1134"/>
        </w:tabs>
        <w:spacing w:before="80"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A91C78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3. </w:t>
      </w:r>
      <w:r w:rsidR="00AC3517" w:rsidRPr="00A91C78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Zbiorcze zestawienie parametrów</w:t>
      </w:r>
      <w:r w:rsidR="00002FE4" w:rsidRPr="00A91C78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zbiorników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360"/>
        <w:gridCol w:w="2900"/>
      </w:tblGrid>
      <w:tr w:rsidR="00AC3517" w:rsidRPr="0002770A" w14:paraId="59EBED2A" w14:textId="77777777" w:rsidTr="00AC3517">
        <w:trPr>
          <w:trHeight w:val="4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64BA3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08947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wyszczególnienie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F3332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zbiornik opisany w dokumentacji projektowej</w:t>
            </w:r>
          </w:p>
        </w:tc>
      </w:tr>
      <w:tr w:rsidR="00AC3517" w:rsidRPr="0002770A" w14:paraId="4DFDC641" w14:textId="77777777" w:rsidTr="00AC351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64298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58EFE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B94F2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3</w:t>
            </w:r>
          </w:p>
        </w:tc>
      </w:tr>
      <w:tr w:rsidR="00AC3517" w:rsidRPr="0002770A" w14:paraId="227983D8" w14:textId="77777777" w:rsidTr="00AC3517">
        <w:trPr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8A40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7C8A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materiał zbiornika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1F5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wykonanie w całości z żywicy winyloestrowej, włókna szklanego o podwyższonej odporności na korozję E-CR z zastosowaniem jako wypełniacza piasku kwarcowego.</w:t>
            </w:r>
          </w:p>
        </w:tc>
      </w:tr>
      <w:tr w:rsidR="00AC3517" w:rsidRPr="0002770A" w14:paraId="1F1C2701" w14:textId="77777777" w:rsidTr="00AC351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605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B69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pojemność czynna </w:t>
            </w:r>
            <w:proofErr w:type="spellStart"/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Vcz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A75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100m</w:t>
            </w: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vertAlign w:val="superscript"/>
                <w:lang w:eastAsia="pl-PL"/>
              </w:rPr>
              <w:t>3</w:t>
            </w:r>
          </w:p>
        </w:tc>
      </w:tr>
      <w:tr w:rsidR="00AC3517" w:rsidRPr="0002770A" w14:paraId="3BE1CD6C" w14:textId="77777777" w:rsidTr="00AC3517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0571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CBF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średnica zbiornika </w:t>
            </w: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3CE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ok. 2500mm</w:t>
            </w:r>
          </w:p>
        </w:tc>
      </w:tr>
      <w:tr w:rsidR="00AC3517" w:rsidRPr="0002770A" w14:paraId="1CD15381" w14:textId="77777777" w:rsidTr="00AC3517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E2D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B4C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długość zbiornika 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27A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22m (bez dennic)</w:t>
            </w:r>
          </w:p>
        </w:tc>
      </w:tr>
      <w:tr w:rsidR="00AC3517" w:rsidRPr="0002770A" w14:paraId="580A6D55" w14:textId="77777777" w:rsidTr="00AC3517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5E5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759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grubość ścianki zbiornika  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445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49mm</w:t>
            </w:r>
          </w:p>
        </w:tc>
      </w:tr>
      <w:tr w:rsidR="00AC3517" w:rsidRPr="0002770A" w14:paraId="6ABF3A65" w14:textId="77777777" w:rsidTr="00AC3517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2FCC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762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włazy technologiczne średnica </w:t>
            </w: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63C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1200mm</w:t>
            </w:r>
          </w:p>
        </w:tc>
      </w:tr>
      <w:tr w:rsidR="00AC3517" w:rsidRPr="0002770A" w14:paraId="27228C6D" w14:textId="77777777" w:rsidTr="00AC3517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2349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8541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uszczelki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15E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Rury GRP wykorzystywane do budowy zbiornika powinny być wyposażone w uszczelki o pełnym, litym  przekroju bez pustki powietrznej wykonane z EPDM lub SBR</w:t>
            </w:r>
          </w:p>
        </w:tc>
      </w:tr>
      <w:tr w:rsidR="00AC3517" w:rsidRPr="0002770A" w14:paraId="229FC28B" w14:textId="77777777" w:rsidTr="00AC3517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D03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DDD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połączenia elementów zbiornika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835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Połączenia systemowe producenta z uszczelnieniem EPDM lub SBR o wytrzymałości PN1 bar</w:t>
            </w:r>
          </w:p>
        </w:tc>
      </w:tr>
      <w:tr w:rsidR="00AC3517" w:rsidRPr="0002770A" w14:paraId="6608429D" w14:textId="77777777" w:rsidTr="00AC3517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532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092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wypełniacz struktury zbiornika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FFA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piasek kwarcowy</w:t>
            </w:r>
          </w:p>
        </w:tc>
      </w:tr>
      <w:tr w:rsidR="00AC3517" w:rsidRPr="0002770A" w14:paraId="54C927C8" w14:textId="77777777" w:rsidTr="00AC3517">
        <w:trPr>
          <w:trHeight w:val="288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65F07519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/>
              </w:rPr>
              <w:lastRenderedPageBreak/>
              <w:t>Przy zastosowaniu rur GRP parametry nie gorsze niż:</w:t>
            </w:r>
          </w:p>
        </w:tc>
      </w:tr>
      <w:tr w:rsidR="00AC3517" w:rsidRPr="0002770A" w14:paraId="5FAC0FA2" w14:textId="77777777" w:rsidTr="00AC3517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C7B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8F3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początkowa wytrzymałość na zginanie w kierunku obwodowym  badana wg PN-EN ISO 178: 2011/A1:2013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2B8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260 MPa</w:t>
            </w:r>
          </w:p>
        </w:tc>
      </w:tr>
      <w:tr w:rsidR="00AC3517" w:rsidRPr="0002770A" w14:paraId="20914272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E2E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CDE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długotrwała wytrzymałość na zginanie w kierunku obwodowym badana wg PN-EN ISO 16611:2018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88A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170 MPa</w:t>
            </w:r>
          </w:p>
        </w:tc>
      </w:tr>
      <w:tr w:rsidR="00AC3517" w:rsidRPr="0002770A" w14:paraId="56083AFA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E0DC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2C4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wytrzymałość na ściskanie w kierunku osiowym badana wg PN-ISO 25780:2013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A4E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≥ 90 MPa</w:t>
            </w:r>
          </w:p>
        </w:tc>
      </w:tr>
      <w:tr w:rsidR="00AC3517" w:rsidRPr="0002770A" w14:paraId="17561489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5E17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6F4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krótkotrwała wzdłużna wytrzymałość na rozciąganie  badana wg PN-EN 1393:2002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D3B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≥ 30 </w:t>
            </w:r>
            <w:proofErr w:type="spellStart"/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Mpa</w:t>
            </w:r>
            <w:proofErr w:type="spellEnd"/>
          </w:p>
        </w:tc>
      </w:tr>
      <w:tr w:rsidR="00AC3517" w:rsidRPr="0002770A" w14:paraId="58218829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83C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60A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początkowy moduł sprężystości przy zginaniu badany wg PN-EN ISO 178:2011/A1:2013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B37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≥ 11800 MPa </w:t>
            </w:r>
          </w:p>
        </w:tc>
      </w:tr>
      <w:tr w:rsidR="00AC3517" w:rsidRPr="0002770A" w14:paraId="7CCE1D58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E6A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31A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długotrwały moduł sprężystości przy zginaniu badany wg ISO 10468: 2018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7EE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≥ 8000 </w:t>
            </w:r>
            <w:proofErr w:type="spellStart"/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Mpa</w:t>
            </w:r>
            <w:proofErr w:type="spellEnd"/>
          </w:p>
        </w:tc>
      </w:tr>
      <w:tr w:rsidR="00AC3517" w:rsidRPr="0002770A" w14:paraId="7E917C6A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ACA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790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wskaźnik pełzania w środowisku wodnym  badany wg ISO 10468:2018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148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0,77</w:t>
            </w:r>
          </w:p>
        </w:tc>
      </w:tr>
      <w:tr w:rsidR="00AC3517" w:rsidRPr="0002770A" w14:paraId="745F00EE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8FA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C13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 xml:space="preserve">Współczynnik chropowatości powierzchni badany wg PN-EN ISO 4287:1999/A1:2010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2CC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≤ 0,002</w:t>
            </w:r>
          </w:p>
        </w:tc>
      </w:tr>
      <w:tr w:rsidR="00AC3517" w:rsidRPr="0002770A" w14:paraId="6266728D" w14:textId="77777777" w:rsidTr="00AC3517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CD6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778" w14:textId="77777777" w:rsidR="00AC3517" w:rsidRPr="0002770A" w:rsidRDefault="00AC3517" w:rsidP="00AC35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odporność na ścieranie po 200 000 cykli  badanie wg PN-EN 295-3:2012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575" w14:textId="77777777" w:rsidR="00AC3517" w:rsidRPr="0002770A" w:rsidRDefault="00AC3517" w:rsidP="00AC35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</w:pPr>
            <w:r w:rsidRPr="0002770A">
              <w:rPr>
                <w:rFonts w:asciiTheme="minorHAnsi" w:eastAsia="Times New Roman" w:hAnsiTheme="minorHAnsi" w:cstheme="minorHAnsi"/>
                <w:color w:val="000000"/>
                <w:kern w:val="0"/>
                <w:lang w:eastAsia="pl-PL"/>
              </w:rPr>
              <w:t>≤ 0,1 mm</w:t>
            </w:r>
          </w:p>
        </w:tc>
      </w:tr>
    </w:tbl>
    <w:p w14:paraId="780E7CC5" w14:textId="77777777" w:rsidR="00002FE4" w:rsidRPr="0002770A" w:rsidRDefault="00002FE4">
      <w:pPr>
        <w:rPr>
          <w:rFonts w:asciiTheme="minorHAnsi" w:hAnsiTheme="minorHAnsi" w:cstheme="minorHAnsi"/>
        </w:rPr>
      </w:pPr>
      <w:bookmarkStart w:id="1" w:name="_Hlk190951532"/>
    </w:p>
    <w:p w14:paraId="6E507C37" w14:textId="66B848AA" w:rsidR="00B619D2" w:rsidRPr="00A278B9" w:rsidRDefault="00B619D2" w:rsidP="00B619D2">
      <w:pPr>
        <w:ind w:left="-284"/>
        <w:jc w:val="both"/>
        <w:rPr>
          <w:rFonts w:cs="Calibri"/>
          <w:b/>
          <w:sz w:val="20"/>
          <w:szCs w:val="20"/>
        </w:rPr>
      </w:pPr>
      <w:r w:rsidRPr="00A278B9">
        <w:rPr>
          <w:rFonts w:cs="Calibri"/>
          <w:kern w:val="0"/>
          <w:sz w:val="20"/>
          <w:szCs w:val="20"/>
        </w:rPr>
        <w:t xml:space="preserve">Parametry wskazane powyżej należy rozumieć jako minimalne parametry jakie </w:t>
      </w:r>
      <w:r>
        <w:rPr>
          <w:rFonts w:cs="Calibri"/>
          <w:kern w:val="0"/>
          <w:sz w:val="20"/>
          <w:szCs w:val="20"/>
        </w:rPr>
        <w:t xml:space="preserve">dostarczane zbiorniki i obudowa przepompowni </w:t>
      </w:r>
      <w:r w:rsidRPr="00A278B9">
        <w:rPr>
          <w:rFonts w:cs="Calibri"/>
          <w:kern w:val="0"/>
          <w:sz w:val="20"/>
          <w:szCs w:val="20"/>
        </w:rPr>
        <w:t>musi spełniać</w:t>
      </w:r>
      <w:r>
        <w:rPr>
          <w:rFonts w:cs="Calibri"/>
          <w:kern w:val="0"/>
          <w:sz w:val="20"/>
          <w:szCs w:val="20"/>
        </w:rPr>
        <w:t>.</w:t>
      </w:r>
      <w:r w:rsidRPr="00A278B9">
        <w:rPr>
          <w:rFonts w:cs="Calibri"/>
          <w:kern w:val="0"/>
          <w:sz w:val="20"/>
          <w:szCs w:val="20"/>
        </w:rPr>
        <w:t xml:space="preserve"> Wykonawca może zaoferować </w:t>
      </w:r>
      <w:r>
        <w:rPr>
          <w:rFonts w:cs="Calibri"/>
          <w:kern w:val="0"/>
          <w:sz w:val="20"/>
          <w:szCs w:val="20"/>
        </w:rPr>
        <w:t xml:space="preserve">zbiorniki i obudowę przepompowni </w:t>
      </w:r>
      <w:r w:rsidRPr="00A278B9">
        <w:rPr>
          <w:rFonts w:cs="Calibri"/>
          <w:kern w:val="0"/>
          <w:sz w:val="20"/>
          <w:szCs w:val="20"/>
        </w:rPr>
        <w:t>o</w:t>
      </w:r>
      <w:r>
        <w:rPr>
          <w:rFonts w:cs="Calibri"/>
          <w:kern w:val="0"/>
          <w:sz w:val="20"/>
          <w:szCs w:val="20"/>
        </w:rPr>
        <w:t> </w:t>
      </w:r>
      <w:r w:rsidRPr="00A278B9">
        <w:rPr>
          <w:rFonts w:cs="Calibri"/>
          <w:kern w:val="0"/>
          <w:sz w:val="20"/>
          <w:szCs w:val="20"/>
        </w:rPr>
        <w:t>parametrach wyższych (lepszych) niż te przedstawione w opisie. W takiej sytuacji Zamawiający wymaga złożenia w ofercie stosownych dokumentów, uwiarygodniających te parametry</w:t>
      </w:r>
      <w:r>
        <w:rPr>
          <w:rFonts w:cs="Calibri"/>
          <w:kern w:val="0"/>
          <w:sz w:val="20"/>
          <w:szCs w:val="20"/>
        </w:rPr>
        <w:t>.</w:t>
      </w:r>
    </w:p>
    <w:bookmarkEnd w:id="1"/>
    <w:p w14:paraId="46C11B6E" w14:textId="77777777" w:rsidR="00B619D2" w:rsidRDefault="00B619D2" w:rsidP="00B619D2">
      <w:pPr>
        <w:ind w:left="-284"/>
        <w:jc w:val="both"/>
        <w:rPr>
          <w:rFonts w:asciiTheme="minorHAnsi" w:hAnsiTheme="minorHAnsi" w:cstheme="minorHAnsi"/>
          <w:b/>
        </w:rPr>
      </w:pPr>
      <w:r w:rsidRPr="007D029A">
        <w:rPr>
          <w:rFonts w:asciiTheme="minorHAnsi" w:hAnsiTheme="minorHAnsi" w:cstheme="minorHAnsi"/>
          <w:b/>
        </w:rPr>
        <w:t>Uwaga: Wyposażenie pompowni i zbiorników retencyjnych (pompy) dostarczane przez Zamawiającego</w:t>
      </w:r>
      <w:r>
        <w:rPr>
          <w:rFonts w:asciiTheme="minorHAnsi" w:hAnsiTheme="minorHAnsi" w:cstheme="minorHAnsi"/>
          <w:b/>
        </w:rPr>
        <w:t xml:space="preserve">. </w:t>
      </w:r>
    </w:p>
    <w:p w14:paraId="5ED5857B" w14:textId="20BA38F4" w:rsidR="00002FE4" w:rsidRPr="007D029A" w:rsidRDefault="00002FE4">
      <w:pPr>
        <w:rPr>
          <w:rFonts w:asciiTheme="minorHAnsi" w:hAnsiTheme="minorHAnsi" w:cstheme="minorHAnsi"/>
          <w:b/>
        </w:rPr>
      </w:pPr>
    </w:p>
    <w:sectPr w:rsidR="00002FE4" w:rsidRPr="007D029A" w:rsidSect="00D3199D">
      <w:footerReference w:type="default" r:id="rId11"/>
      <w:type w:val="continuous"/>
      <w:pgSz w:w="11907" w:h="16839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C4AF" w14:textId="77777777" w:rsidR="008905D7" w:rsidRDefault="008905D7" w:rsidP="00AF4252">
      <w:pPr>
        <w:spacing w:after="0" w:line="240" w:lineRule="auto"/>
      </w:pPr>
      <w:r>
        <w:separator/>
      </w:r>
    </w:p>
  </w:endnote>
  <w:endnote w:type="continuationSeparator" w:id="0">
    <w:p w14:paraId="1FCADE89" w14:textId="77777777" w:rsidR="008905D7" w:rsidRDefault="008905D7" w:rsidP="00AF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790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1271C2" w14:textId="2DA7641F" w:rsidR="00AF4252" w:rsidRPr="00AF4252" w:rsidRDefault="00AF4252" w:rsidP="00AF4252">
        <w:pPr>
          <w:pStyle w:val="Stopka"/>
          <w:rPr>
            <w:sz w:val="16"/>
            <w:szCs w:val="16"/>
          </w:rPr>
        </w:pPr>
        <w:r w:rsidRPr="00AF4252">
          <w:rPr>
            <w:rFonts w:cs="Calibri"/>
            <w:bCs/>
            <w:sz w:val="16"/>
            <w:szCs w:val="16"/>
          </w:rPr>
          <w:t xml:space="preserve">Zakup i dostawa zbiorników odcieków wraz z obudową przepompowni do ZZO w B.P. _Załącznik nr </w:t>
        </w:r>
        <w:r w:rsidRPr="00AF4252">
          <w:rPr>
            <w:rFonts w:cs="Calibri"/>
            <w:bCs/>
            <w:sz w:val="16"/>
            <w:szCs w:val="16"/>
          </w:rPr>
          <w:t>7</w:t>
        </w:r>
        <w:r w:rsidRPr="00FD1370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ab/>
        </w:r>
        <w:r w:rsidRPr="00AF4252">
          <w:rPr>
            <w:sz w:val="16"/>
            <w:szCs w:val="16"/>
          </w:rPr>
          <w:fldChar w:fldCharType="begin"/>
        </w:r>
        <w:r w:rsidRPr="00AF4252">
          <w:rPr>
            <w:sz w:val="16"/>
            <w:szCs w:val="16"/>
          </w:rPr>
          <w:instrText>PAGE   \* MERGEFORMAT</w:instrText>
        </w:r>
        <w:r w:rsidRPr="00AF4252">
          <w:rPr>
            <w:sz w:val="16"/>
            <w:szCs w:val="16"/>
          </w:rPr>
          <w:fldChar w:fldCharType="separate"/>
        </w:r>
        <w:r w:rsidRPr="00AF4252">
          <w:rPr>
            <w:sz w:val="16"/>
            <w:szCs w:val="16"/>
          </w:rPr>
          <w:t>2</w:t>
        </w:r>
        <w:r w:rsidRPr="00AF4252">
          <w:rPr>
            <w:sz w:val="16"/>
            <w:szCs w:val="16"/>
          </w:rPr>
          <w:fldChar w:fldCharType="end"/>
        </w:r>
      </w:p>
    </w:sdtContent>
  </w:sdt>
  <w:p w14:paraId="1452A6CD" w14:textId="77777777" w:rsidR="00AF4252" w:rsidRDefault="00AF4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3045" w14:textId="77777777" w:rsidR="008905D7" w:rsidRDefault="008905D7" w:rsidP="00AF4252">
      <w:pPr>
        <w:spacing w:after="0" w:line="240" w:lineRule="auto"/>
      </w:pPr>
      <w:r>
        <w:separator/>
      </w:r>
    </w:p>
  </w:footnote>
  <w:footnote w:type="continuationSeparator" w:id="0">
    <w:p w14:paraId="3E859EBD" w14:textId="77777777" w:rsidR="008905D7" w:rsidRDefault="008905D7" w:rsidP="00AF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C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971C59"/>
    <w:multiLevelType w:val="multilevel"/>
    <w:tmpl w:val="21B2F9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29005A"/>
    <w:multiLevelType w:val="hybridMultilevel"/>
    <w:tmpl w:val="D15EA84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22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6267370">
    <w:abstractNumId w:val="2"/>
  </w:num>
  <w:num w:numId="2" w16cid:durableId="1521120345">
    <w:abstractNumId w:val="0"/>
  </w:num>
  <w:num w:numId="3" w16cid:durableId="371661118">
    <w:abstractNumId w:val="3"/>
  </w:num>
  <w:num w:numId="4" w16cid:durableId="26912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BFC"/>
    <w:rsid w:val="00002FE4"/>
    <w:rsid w:val="0002770A"/>
    <w:rsid w:val="000E4291"/>
    <w:rsid w:val="002A5385"/>
    <w:rsid w:val="00355921"/>
    <w:rsid w:val="003F198E"/>
    <w:rsid w:val="00583003"/>
    <w:rsid w:val="005B5BFC"/>
    <w:rsid w:val="007D029A"/>
    <w:rsid w:val="008905D7"/>
    <w:rsid w:val="00997C40"/>
    <w:rsid w:val="00A91C78"/>
    <w:rsid w:val="00AC3517"/>
    <w:rsid w:val="00AF4252"/>
    <w:rsid w:val="00B15D8A"/>
    <w:rsid w:val="00B619D2"/>
    <w:rsid w:val="00BF26F4"/>
    <w:rsid w:val="00D3199D"/>
    <w:rsid w:val="00DD2742"/>
    <w:rsid w:val="00E60445"/>
    <w:rsid w:val="00EA14FC"/>
    <w:rsid w:val="00F609EC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7CAC"/>
  <w15:docId w15:val="{1946B771-23EA-48D3-A850-087E49D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6F4"/>
    <w:pPr>
      <w:spacing w:after="200" w:line="276" w:lineRule="auto"/>
    </w:pPr>
    <w:rPr>
      <w:kern w:val="22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6F4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ker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6F4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kern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26F4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kern w:val="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26F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6F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6F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6F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6F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6F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F26F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F26F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BF26F4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26F4"/>
    <w:rPr>
      <w:rFonts w:asciiTheme="minorHAnsi" w:eastAsiaTheme="minorEastAsia" w:hAnsiTheme="minorHAnsi" w:cstheme="minorBidi"/>
      <w:b/>
      <w:bCs/>
      <w:kern w:val="22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6F4"/>
    <w:rPr>
      <w:rFonts w:asciiTheme="minorHAnsi" w:eastAsiaTheme="minorEastAsia" w:hAnsiTheme="minorHAnsi" w:cstheme="minorBidi"/>
      <w:b/>
      <w:bCs/>
      <w:i/>
      <w:iCs/>
      <w:kern w:val="22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6F4"/>
    <w:rPr>
      <w:rFonts w:asciiTheme="minorHAnsi" w:eastAsiaTheme="minorEastAsia" w:hAnsiTheme="minorHAnsi" w:cstheme="minorBidi"/>
      <w:b/>
      <w:bCs/>
      <w:kern w:val="22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6F4"/>
    <w:rPr>
      <w:rFonts w:asciiTheme="minorHAnsi" w:eastAsiaTheme="minorEastAsia" w:hAnsiTheme="minorHAnsi" w:cstheme="minorBidi"/>
      <w:kern w:val="22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6F4"/>
    <w:rPr>
      <w:rFonts w:asciiTheme="minorHAnsi" w:eastAsiaTheme="minorEastAsia" w:hAnsiTheme="minorHAnsi" w:cstheme="minorBidi"/>
      <w:i/>
      <w:iCs/>
      <w:kern w:val="2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6F4"/>
    <w:rPr>
      <w:rFonts w:asciiTheme="majorHAnsi" w:eastAsiaTheme="majorEastAsia" w:hAnsiTheme="majorHAnsi" w:cstheme="majorBidi"/>
      <w:kern w:val="22"/>
      <w:sz w:val="22"/>
      <w:szCs w:val="22"/>
    </w:rPr>
  </w:style>
  <w:style w:type="paragraph" w:styleId="Legenda">
    <w:name w:val="caption"/>
    <w:aliases w:val="Podpis nad obiektem"/>
    <w:basedOn w:val="Normalny"/>
    <w:next w:val="Normalny"/>
    <w:link w:val="LegendaZnak"/>
    <w:uiPriority w:val="35"/>
    <w:semiHidden/>
    <w:unhideWhenUsed/>
    <w:qFormat/>
    <w:rsid w:val="00BF26F4"/>
    <w:rPr>
      <w:b/>
      <w:bCs/>
      <w:sz w:val="20"/>
      <w:szCs w:val="20"/>
    </w:rPr>
  </w:style>
  <w:style w:type="character" w:customStyle="1" w:styleId="LegendaZnak">
    <w:name w:val="Legenda Znak"/>
    <w:aliases w:val="Podpis nad obiektem Znak"/>
    <w:link w:val="Legenda"/>
    <w:uiPriority w:val="35"/>
    <w:semiHidden/>
    <w:rsid w:val="00BF26F4"/>
    <w:rPr>
      <w:b/>
      <w:bCs/>
      <w:kern w:val="22"/>
    </w:rPr>
  </w:style>
  <w:style w:type="paragraph" w:styleId="Tytu">
    <w:name w:val="Title"/>
    <w:basedOn w:val="Normalny"/>
    <w:link w:val="TytuZnak"/>
    <w:uiPriority w:val="10"/>
    <w:qFormat/>
    <w:rsid w:val="00BF2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F2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BF26F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26F4"/>
    <w:pPr>
      <w:keepLines w:val="0"/>
      <w:spacing w:before="240" w:after="60"/>
      <w:outlineLvl w:val="9"/>
    </w:pPr>
    <w:rPr>
      <w:rFonts w:asciiTheme="majorHAnsi" w:hAnsiTheme="majorHAnsi"/>
      <w:color w:val="auto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9D"/>
    <w:rPr>
      <w:rFonts w:ascii="Tahoma" w:hAnsi="Tahoma" w:cs="Tahoma"/>
      <w:kern w:val="22"/>
      <w:sz w:val="16"/>
      <w:szCs w:val="16"/>
    </w:rPr>
  </w:style>
  <w:style w:type="paragraph" w:customStyle="1" w:styleId="WW-Domylnie">
    <w:name w:val="WW-Domyślnie"/>
    <w:qFormat/>
    <w:rsid w:val="00B15D8A"/>
    <w:pPr>
      <w:suppressAutoHyphens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252"/>
    <w:rPr>
      <w:kern w:val="22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F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252"/>
    <w:rPr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iejski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 5</cp:lastModifiedBy>
  <cp:revision>7</cp:revision>
  <dcterms:created xsi:type="dcterms:W3CDTF">2025-02-20T10:33:00Z</dcterms:created>
  <dcterms:modified xsi:type="dcterms:W3CDTF">2025-02-21T13:16:00Z</dcterms:modified>
</cp:coreProperties>
</file>