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935DD1" w14:textId="77777777" w:rsidR="002D786D" w:rsidRPr="008F7B36" w:rsidRDefault="002D786D" w:rsidP="002D786D">
      <w:pPr>
        <w:jc w:val="both"/>
      </w:pPr>
    </w:p>
    <w:p w14:paraId="3E82F909" w14:textId="77777777" w:rsidR="002D786D" w:rsidRPr="008F7B36" w:rsidRDefault="002D786D" w:rsidP="002D786D">
      <w:pPr>
        <w:spacing w:line="18pt" w:lineRule="auto"/>
        <w:jc w:val="both"/>
        <w:rPr>
          <w:bCs/>
        </w:rPr>
      </w:pPr>
      <w:r w:rsidRPr="008F7B36">
        <w:rPr>
          <w:bCs/>
        </w:rPr>
        <w:t xml:space="preserve">Przedmiotem zamówienia jest sukcesywna </w:t>
      </w:r>
      <w:r>
        <w:rPr>
          <w:bCs/>
        </w:rPr>
        <w:t>dostawa:</w:t>
      </w:r>
    </w:p>
    <w:p w14:paraId="4198AD81" w14:textId="77777777" w:rsidR="0020006D" w:rsidRDefault="0020006D"/>
    <w:p w14:paraId="6B68ED1A" w14:textId="752EB97A" w:rsidR="00E90567" w:rsidRPr="00742238" w:rsidRDefault="002D786D" w:rsidP="00742238">
      <w:pPr>
        <w:numPr>
          <w:ilvl w:val="0"/>
          <w:numId w:val="1"/>
        </w:numPr>
        <w:spacing w:line="18pt" w:lineRule="auto"/>
        <w:jc w:val="both"/>
        <w:rPr>
          <w:bCs/>
        </w:rPr>
      </w:pPr>
      <w:r w:rsidRPr="008F7B36">
        <w:rPr>
          <w:bCs/>
        </w:rPr>
        <w:t xml:space="preserve"> </w:t>
      </w:r>
      <w:r>
        <w:rPr>
          <w:bCs/>
        </w:rPr>
        <w:t>Hydranty podziemne</w:t>
      </w:r>
      <w:r w:rsidRPr="008F7B36">
        <w:rPr>
          <w:bCs/>
        </w:rPr>
        <w:t xml:space="preserve"> DN 80 z pojedynczym zamknięciem z kolumną z żeliwa sferoidalnego</w:t>
      </w:r>
    </w:p>
    <w:p w14:paraId="335CE70C" w14:textId="77777777" w:rsidR="00E90567" w:rsidRDefault="00E90567"/>
    <w:p w14:paraId="0E1880B8" w14:textId="77777777" w:rsidR="00E90567" w:rsidRDefault="00E90567"/>
    <w:p w14:paraId="5D0EBFA6" w14:textId="77777777" w:rsidR="00E90567" w:rsidRDefault="00E90567"/>
    <w:p w14:paraId="19DB34F9" w14:textId="77777777" w:rsidR="00E90567" w:rsidRDefault="00E90567"/>
    <w:p w14:paraId="608455CD" w14:textId="77777777" w:rsidR="00E90567" w:rsidRDefault="00E90567"/>
    <w:p w14:paraId="4FDC843F" w14:textId="77777777" w:rsidR="00E90567" w:rsidRDefault="00E90567"/>
    <w:p w14:paraId="59CA3881" w14:textId="77777777" w:rsidR="00E90567" w:rsidRDefault="00E90567"/>
    <w:p w14:paraId="3DE6A1FA" w14:textId="77777777" w:rsidR="002D786D" w:rsidRPr="008F7B36" w:rsidRDefault="002D786D" w:rsidP="002D786D">
      <w:pPr>
        <w:pStyle w:val="Podtytu"/>
        <w:rPr>
          <w:sz w:val="28"/>
          <w:u w:val="single"/>
        </w:rPr>
      </w:pPr>
      <w:r>
        <w:rPr>
          <w:sz w:val="28"/>
          <w:u w:val="single"/>
        </w:rPr>
        <w:t>dane</w:t>
      </w:r>
      <w:r w:rsidRPr="008F7B36">
        <w:rPr>
          <w:sz w:val="28"/>
          <w:u w:val="single"/>
        </w:rPr>
        <w:t xml:space="preserve"> te</w:t>
      </w:r>
      <w:r>
        <w:rPr>
          <w:sz w:val="28"/>
          <w:u w:val="single"/>
        </w:rPr>
        <w:t xml:space="preserve">chniczne </w:t>
      </w:r>
    </w:p>
    <w:p w14:paraId="53E0C9FD" w14:textId="77777777" w:rsidR="002D786D" w:rsidRPr="008F7B36" w:rsidRDefault="002D786D" w:rsidP="002D786D">
      <w:pPr>
        <w:pStyle w:val="Podtytu"/>
        <w:jc w:val="both"/>
        <w:rPr>
          <w:u w:val="single"/>
        </w:rPr>
      </w:pPr>
    </w:p>
    <w:p w14:paraId="71B1C467" w14:textId="77777777" w:rsidR="002D786D" w:rsidRPr="008F7B36" w:rsidRDefault="002D786D" w:rsidP="002D786D">
      <w:pPr>
        <w:pStyle w:val="Podtytu"/>
        <w:jc w:val="both"/>
        <w:rPr>
          <w:u w:val="single"/>
        </w:rPr>
      </w:pPr>
    </w:p>
    <w:p w14:paraId="4BC886EC" w14:textId="77777777" w:rsidR="002D786D" w:rsidRPr="008F7B36" w:rsidRDefault="002D786D" w:rsidP="002D786D">
      <w:pPr>
        <w:pStyle w:val="Podtytu"/>
        <w:spacing w:line="18pt" w:lineRule="auto"/>
        <w:jc w:val="both"/>
        <w:rPr>
          <w:b w:val="0"/>
          <w:bCs/>
        </w:rPr>
      </w:pPr>
      <w:r w:rsidRPr="008F7B36">
        <w:t>Hydranty podziemne DN 80 z pojedynczym zamknięciem z kolumną z żeliwa sferoidalnego</w:t>
      </w:r>
    </w:p>
    <w:p w14:paraId="66ECEDF7" w14:textId="77777777" w:rsidR="002D786D" w:rsidRDefault="002D786D" w:rsidP="002D786D">
      <w:pPr>
        <w:tabs>
          <w:tab w:val="num" w:pos="53.40pt"/>
        </w:tabs>
        <w:jc w:val="both"/>
        <w:rPr>
          <w:b/>
        </w:rPr>
      </w:pPr>
    </w:p>
    <w:p w14:paraId="719E95B9" w14:textId="77777777" w:rsidR="00742238" w:rsidRPr="008F7B36" w:rsidRDefault="00742238" w:rsidP="002D786D">
      <w:pPr>
        <w:tabs>
          <w:tab w:val="num" w:pos="53.40pt"/>
        </w:tabs>
        <w:jc w:val="both"/>
        <w:rPr>
          <w:b/>
        </w:rPr>
      </w:pPr>
    </w:p>
    <w:p w14:paraId="2A71FB97" w14:textId="77777777" w:rsidR="002D786D" w:rsidRPr="008F7B36" w:rsidRDefault="002D786D" w:rsidP="002D786D">
      <w:pPr>
        <w:tabs>
          <w:tab w:val="num" w:pos="53.40pt"/>
        </w:tabs>
        <w:jc w:val="both"/>
        <w:rPr>
          <w:b/>
        </w:rPr>
      </w:pPr>
    </w:p>
    <w:p w14:paraId="71CDA80B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bCs/>
          <w:u w:val="single"/>
        </w:rPr>
      </w:pPr>
      <w:r w:rsidRPr="008F7B36">
        <w:rPr>
          <w:b/>
          <w:bCs/>
          <w:u w:val="single"/>
        </w:rPr>
        <w:t xml:space="preserve">Wykonanie </w:t>
      </w:r>
    </w:p>
    <w:p w14:paraId="79B4A62E" w14:textId="77777777" w:rsidR="002D786D" w:rsidRPr="008F7B36" w:rsidRDefault="002D786D" w:rsidP="002D786D">
      <w:pPr>
        <w:ind w:start="17.40pt"/>
        <w:jc w:val="both"/>
      </w:pPr>
    </w:p>
    <w:p w14:paraId="22581A0A" w14:textId="77777777" w:rsidR="002D786D" w:rsidRPr="008F7B36" w:rsidRDefault="002D786D" w:rsidP="002D786D">
      <w:pPr>
        <w:numPr>
          <w:ilvl w:val="0"/>
          <w:numId w:val="12"/>
        </w:numPr>
        <w:ind w:start="36pt"/>
        <w:jc w:val="both"/>
      </w:pPr>
      <w:r w:rsidRPr="008F7B36">
        <w:t xml:space="preserve">głębokość zabudowy RD: </w:t>
      </w:r>
      <w:r w:rsidRPr="008F7B36">
        <w:rPr>
          <w:b/>
        </w:rPr>
        <w:t>1000 mm, 1250 mm, 1500 mm</w:t>
      </w:r>
    </w:p>
    <w:p w14:paraId="28EBB7B1" w14:textId="77777777" w:rsidR="002D786D" w:rsidRPr="008F7B36" w:rsidRDefault="002D786D" w:rsidP="002D786D">
      <w:pPr>
        <w:ind w:start="35.40pt"/>
        <w:jc w:val="both"/>
      </w:pPr>
    </w:p>
    <w:p w14:paraId="75F2D4C5" w14:textId="77777777" w:rsidR="002D786D" w:rsidRPr="008F7B36" w:rsidRDefault="00C25160" w:rsidP="002D786D">
      <w:pPr>
        <w:numPr>
          <w:ilvl w:val="0"/>
          <w:numId w:val="13"/>
        </w:numPr>
        <w:tabs>
          <w:tab w:val="clear" w:pos="36pt"/>
          <w:tab w:val="num" w:pos="18pt"/>
        </w:tabs>
        <w:spacing w:line="18pt" w:lineRule="auto"/>
        <w:ind w:start="35.70pt" w:hanging="17.85pt"/>
        <w:jc w:val="both"/>
      </w:pPr>
      <w:r>
        <w:t xml:space="preserve">wymiary kołnierzy i ich </w:t>
      </w:r>
      <w:proofErr w:type="spellStart"/>
      <w:r>
        <w:t>owiercenie</w:t>
      </w:r>
      <w:proofErr w:type="spellEnd"/>
      <w:r>
        <w:t xml:space="preserve"> zgodne z Polską Normą na ciśnienie robocze nie mniejsze niż 1,0 </w:t>
      </w:r>
      <w:proofErr w:type="spellStart"/>
      <w:r>
        <w:t>MPa</w:t>
      </w:r>
      <w:proofErr w:type="spellEnd"/>
    </w:p>
    <w:p w14:paraId="7FD970BD" w14:textId="77777777" w:rsidR="002D786D" w:rsidRPr="008F7B36" w:rsidRDefault="002D786D" w:rsidP="002D786D">
      <w:pPr>
        <w:ind w:start="17.40pt"/>
        <w:jc w:val="both"/>
      </w:pPr>
    </w:p>
    <w:p w14:paraId="53C70782" w14:textId="77777777" w:rsidR="002D786D" w:rsidRPr="008F7B36" w:rsidRDefault="002D786D" w:rsidP="002D786D">
      <w:pPr>
        <w:ind w:start="17.40pt"/>
        <w:jc w:val="both"/>
      </w:pPr>
    </w:p>
    <w:p w14:paraId="1577E204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bCs/>
          <w:u w:val="single"/>
        </w:rPr>
      </w:pPr>
      <w:r w:rsidRPr="008F7B36">
        <w:rPr>
          <w:b/>
          <w:bCs/>
          <w:u w:val="single"/>
        </w:rPr>
        <w:t>Materiał:</w:t>
      </w:r>
    </w:p>
    <w:p w14:paraId="33267A7C" w14:textId="77777777" w:rsidR="002D786D" w:rsidRPr="008F7B36" w:rsidRDefault="002D786D" w:rsidP="002D786D">
      <w:pPr>
        <w:ind w:start="35.40pt"/>
        <w:jc w:val="both"/>
        <w:rPr>
          <w:u w:val="single"/>
        </w:rPr>
      </w:pPr>
    </w:p>
    <w:p w14:paraId="6635C860" w14:textId="77777777" w:rsidR="002D786D" w:rsidRPr="008F7B36" w:rsidRDefault="002D786D" w:rsidP="002D786D">
      <w:pPr>
        <w:ind w:start="17.40pt"/>
        <w:jc w:val="both"/>
        <w:rPr>
          <w:u w:val="single"/>
        </w:rPr>
      </w:pPr>
    </w:p>
    <w:p w14:paraId="38550934" w14:textId="77777777" w:rsidR="002D786D" w:rsidRPr="008F7B36" w:rsidRDefault="002D786D" w:rsidP="002D786D">
      <w:pPr>
        <w:numPr>
          <w:ilvl w:val="0"/>
          <w:numId w:val="9"/>
        </w:numPr>
        <w:tabs>
          <w:tab w:val="clear" w:pos="18pt"/>
          <w:tab w:val="num" w:pos="35.40pt"/>
        </w:tabs>
        <w:spacing w:line="18pt" w:lineRule="auto"/>
        <w:ind w:start="35.40pt"/>
        <w:jc w:val="both"/>
      </w:pPr>
      <w:r w:rsidRPr="008F7B36">
        <w:t xml:space="preserve">Korpus górny, korpus dolny lub korpus monolityczny, gniazdo kłowe, pokrywa przykręcana na 2, 3 lub 4 śruby, kaptur trzpienia do klucza – żeliwo sferoidalne </w:t>
      </w:r>
      <w:r w:rsidRPr="008F7B36">
        <w:rPr>
          <w:iCs/>
        </w:rPr>
        <w:t xml:space="preserve">min. </w:t>
      </w:r>
      <w:r w:rsidRPr="008F7B36">
        <w:rPr>
          <w:color w:val="000000"/>
        </w:rPr>
        <w:t>EN-GJS-400-15 (wg DIN GGG 40)</w:t>
      </w:r>
      <w:r w:rsidRPr="008F7B36">
        <w:t xml:space="preserve">  </w:t>
      </w:r>
    </w:p>
    <w:p w14:paraId="314EF32C" w14:textId="77777777" w:rsidR="002D786D" w:rsidRPr="008F7B36" w:rsidRDefault="002D786D" w:rsidP="002D786D">
      <w:pPr>
        <w:numPr>
          <w:ilvl w:val="0"/>
          <w:numId w:val="9"/>
        </w:numPr>
        <w:tabs>
          <w:tab w:val="clear" w:pos="18pt"/>
          <w:tab w:val="num" w:pos="35.40pt"/>
        </w:tabs>
        <w:spacing w:line="18pt" w:lineRule="auto"/>
        <w:ind w:start="35.40pt"/>
        <w:jc w:val="both"/>
      </w:pPr>
      <w:r w:rsidRPr="008F7B36">
        <w:t xml:space="preserve">Kolumna – żeliwo sferoidalne </w:t>
      </w:r>
      <w:r w:rsidRPr="008F7B36">
        <w:rPr>
          <w:iCs/>
        </w:rPr>
        <w:t xml:space="preserve">min. </w:t>
      </w:r>
      <w:r w:rsidRPr="008F7B36">
        <w:rPr>
          <w:color w:val="000000"/>
        </w:rPr>
        <w:t>EN-GJS-400-15 (wg DIN GGG 40)</w:t>
      </w:r>
      <w:r w:rsidRPr="008F7B36">
        <w:t xml:space="preserve"> </w:t>
      </w:r>
    </w:p>
    <w:p w14:paraId="3CD3AC50" w14:textId="77777777" w:rsidR="002D786D" w:rsidRPr="008F7B36" w:rsidRDefault="002D786D" w:rsidP="002D786D">
      <w:pPr>
        <w:spacing w:line="18pt" w:lineRule="auto"/>
        <w:ind w:start="17.40pt" w:firstLine="18pt"/>
        <w:jc w:val="both"/>
      </w:pPr>
      <w:r w:rsidRPr="008F7B36">
        <w:t>(nie dopuszczamy innych rozwiązań materiałowych)</w:t>
      </w:r>
    </w:p>
    <w:p w14:paraId="1F863DED" w14:textId="77777777" w:rsidR="002D786D" w:rsidRDefault="002D786D" w:rsidP="002D786D">
      <w:pPr>
        <w:spacing w:line="18pt" w:lineRule="auto"/>
        <w:ind w:start="17.40pt"/>
        <w:jc w:val="both"/>
      </w:pPr>
    </w:p>
    <w:p w14:paraId="6B700CCE" w14:textId="77777777" w:rsidR="0051403C" w:rsidRDefault="0051403C" w:rsidP="002D786D">
      <w:pPr>
        <w:spacing w:line="18pt" w:lineRule="auto"/>
        <w:ind w:start="17.40pt"/>
        <w:jc w:val="both"/>
      </w:pPr>
    </w:p>
    <w:p w14:paraId="052CFD8A" w14:textId="77777777" w:rsidR="0051403C" w:rsidRDefault="0051403C" w:rsidP="002D786D">
      <w:pPr>
        <w:spacing w:line="18pt" w:lineRule="auto"/>
        <w:ind w:start="17.40pt"/>
        <w:jc w:val="both"/>
      </w:pPr>
    </w:p>
    <w:p w14:paraId="73A98125" w14:textId="77777777" w:rsidR="0051403C" w:rsidRPr="008F7B36" w:rsidRDefault="0051403C" w:rsidP="002D786D">
      <w:pPr>
        <w:spacing w:line="18pt" w:lineRule="auto"/>
        <w:ind w:start="17.40pt"/>
        <w:jc w:val="both"/>
      </w:pPr>
    </w:p>
    <w:p w14:paraId="7C025DCC" w14:textId="77777777" w:rsidR="002D786D" w:rsidRPr="008F7B36" w:rsidRDefault="002D786D" w:rsidP="002D786D">
      <w:pPr>
        <w:spacing w:line="18pt" w:lineRule="auto"/>
        <w:ind w:start="17.40pt"/>
        <w:jc w:val="both"/>
      </w:pPr>
    </w:p>
    <w:p w14:paraId="01D55DDD" w14:textId="77777777" w:rsidR="002D786D" w:rsidRPr="008F7B36" w:rsidRDefault="002D786D" w:rsidP="002D786D">
      <w:pPr>
        <w:spacing w:line="18pt" w:lineRule="auto"/>
        <w:ind w:start="17.40pt"/>
        <w:jc w:val="both"/>
        <w:rPr>
          <w:b/>
          <w:u w:val="single"/>
        </w:rPr>
      </w:pPr>
      <w:r w:rsidRPr="008F7B36">
        <w:lastRenderedPageBreak/>
        <w:t xml:space="preserve">       </w:t>
      </w:r>
      <w:r w:rsidRPr="008F7B36">
        <w:rPr>
          <w:b/>
          <w:u w:val="single"/>
        </w:rPr>
        <w:t>Zespół uruchamiający</w:t>
      </w:r>
    </w:p>
    <w:p w14:paraId="717E9969" w14:textId="77777777" w:rsidR="002D786D" w:rsidRPr="008F7B36" w:rsidRDefault="002D786D" w:rsidP="002D786D">
      <w:pPr>
        <w:jc w:val="both"/>
        <w:rPr>
          <w:iCs/>
        </w:rPr>
      </w:pPr>
      <w:r w:rsidRPr="008F7B36">
        <w:t xml:space="preserve"> </w:t>
      </w:r>
    </w:p>
    <w:p w14:paraId="20D03ED8" w14:textId="77777777" w:rsidR="002D786D" w:rsidRPr="008F7B36" w:rsidRDefault="002D786D" w:rsidP="002D786D">
      <w:pPr>
        <w:numPr>
          <w:ilvl w:val="0"/>
          <w:numId w:val="10"/>
        </w:numPr>
        <w:spacing w:line="18pt" w:lineRule="auto"/>
        <w:ind w:start="35.70pt" w:hanging="17.85pt"/>
        <w:jc w:val="both"/>
        <w:rPr>
          <w:iCs/>
        </w:rPr>
      </w:pPr>
      <w:r w:rsidRPr="008F7B36">
        <w:t xml:space="preserve">Element zamykający (tłok/tłoczek/grzybek)  </w:t>
      </w:r>
      <w:r w:rsidRPr="008F7B36">
        <w:rPr>
          <w:iCs/>
        </w:rPr>
        <w:t xml:space="preserve">z żeliwa sferoidalnego min. </w:t>
      </w:r>
      <w:r w:rsidRPr="008F7B36">
        <w:rPr>
          <w:color w:val="000000"/>
        </w:rPr>
        <w:t>EN-GJS-400-15 (wg DIN GGG 40)</w:t>
      </w:r>
      <w:r w:rsidRPr="008F7B36">
        <w:rPr>
          <w:iCs/>
        </w:rPr>
        <w:t xml:space="preserve">, lub z mosiądzu całkowicie pokryty gumą  EPDM </w:t>
      </w:r>
    </w:p>
    <w:p w14:paraId="7007AC06" w14:textId="77777777" w:rsidR="002D786D" w:rsidRPr="008F7B36" w:rsidRDefault="002D786D" w:rsidP="002D786D">
      <w:pPr>
        <w:spacing w:line="18pt" w:lineRule="auto"/>
        <w:ind w:start="17.85pt" w:firstLine="17.55pt"/>
        <w:jc w:val="both"/>
        <w:rPr>
          <w:iCs/>
        </w:rPr>
      </w:pPr>
      <w:r w:rsidRPr="008F7B36">
        <w:rPr>
          <w:iCs/>
        </w:rPr>
        <w:t>(nie dopuszczamy gumy NBR)</w:t>
      </w:r>
    </w:p>
    <w:p w14:paraId="715F4DED" w14:textId="77777777" w:rsidR="002D786D" w:rsidRPr="008F7B36" w:rsidRDefault="002D786D" w:rsidP="002D786D">
      <w:pPr>
        <w:numPr>
          <w:ilvl w:val="0"/>
          <w:numId w:val="10"/>
        </w:numPr>
        <w:spacing w:line="18pt" w:lineRule="auto"/>
        <w:jc w:val="both"/>
        <w:rPr>
          <w:iCs/>
        </w:rPr>
      </w:pPr>
      <w:r w:rsidRPr="008F7B36">
        <w:rPr>
          <w:bCs/>
          <w:iCs/>
        </w:rPr>
        <w:t>Trzpień (wrzeciono)</w:t>
      </w:r>
      <w:r w:rsidRPr="008F7B36">
        <w:rPr>
          <w:iCs/>
        </w:rPr>
        <w:t xml:space="preserve"> - ze stali nierdzewnej z walcowanym gwintem.</w:t>
      </w:r>
    </w:p>
    <w:p w14:paraId="703D5EBA" w14:textId="77777777" w:rsidR="002D786D" w:rsidRPr="008F7B36" w:rsidRDefault="002D786D" w:rsidP="002D786D">
      <w:pPr>
        <w:ind w:start="18pt" w:firstLine="17.40pt"/>
        <w:jc w:val="both"/>
        <w:rPr>
          <w:bCs/>
          <w:iCs/>
        </w:rPr>
      </w:pPr>
    </w:p>
    <w:p w14:paraId="7D67F97B" w14:textId="77777777" w:rsidR="002D786D" w:rsidRPr="008F7B36" w:rsidRDefault="002D786D" w:rsidP="002D786D">
      <w:pPr>
        <w:numPr>
          <w:ilvl w:val="0"/>
          <w:numId w:val="19"/>
        </w:numPr>
        <w:spacing w:line="18pt" w:lineRule="auto"/>
        <w:ind w:start="35.70pt" w:hanging="17.85pt"/>
        <w:jc w:val="both"/>
        <w:rPr>
          <w:bCs/>
          <w:iCs/>
        </w:rPr>
      </w:pPr>
      <w:r w:rsidRPr="008F7B36">
        <w:rPr>
          <w:color w:val="000000"/>
        </w:rPr>
        <w:t>Nakrętka trzpienia  (nakrę</w:t>
      </w:r>
      <w:r w:rsidR="00C25160">
        <w:rPr>
          <w:color w:val="000000"/>
        </w:rPr>
        <w:t>tka wrzeciona) z mosiądzu</w:t>
      </w:r>
    </w:p>
    <w:p w14:paraId="18DAE3E3" w14:textId="77777777" w:rsidR="002D786D" w:rsidRPr="008F7B36" w:rsidRDefault="002D786D" w:rsidP="002D786D">
      <w:pPr>
        <w:ind w:start="35.25pt"/>
        <w:jc w:val="both"/>
        <w:rPr>
          <w:iCs/>
        </w:rPr>
      </w:pPr>
    </w:p>
    <w:p w14:paraId="20654D37" w14:textId="77777777" w:rsidR="002D786D" w:rsidRPr="008F7B36" w:rsidRDefault="002D786D" w:rsidP="002D786D">
      <w:pPr>
        <w:numPr>
          <w:ilvl w:val="0"/>
          <w:numId w:val="10"/>
        </w:numPr>
        <w:spacing w:line="18pt" w:lineRule="auto"/>
        <w:jc w:val="both"/>
        <w:rPr>
          <w:b/>
          <w:iCs/>
        </w:rPr>
      </w:pPr>
      <w:r w:rsidRPr="008F7B36">
        <w:rPr>
          <w:iCs/>
        </w:rPr>
        <w:t>Rura trzpieniowa, kształtownik (wrzeciono)  -</w:t>
      </w:r>
      <w:r w:rsidRPr="008F7B36">
        <w:rPr>
          <w:b/>
          <w:bCs/>
          <w:iCs/>
        </w:rPr>
        <w:t xml:space="preserve">  </w:t>
      </w:r>
      <w:r w:rsidRPr="008F7B36">
        <w:rPr>
          <w:iCs/>
        </w:rPr>
        <w:t>ze stali nierdzewnej</w:t>
      </w:r>
    </w:p>
    <w:p w14:paraId="694FF0F9" w14:textId="77777777" w:rsidR="002D786D" w:rsidRPr="008F7B36" w:rsidRDefault="002D786D" w:rsidP="002D786D">
      <w:pPr>
        <w:numPr>
          <w:ilvl w:val="0"/>
          <w:numId w:val="9"/>
        </w:numPr>
        <w:tabs>
          <w:tab w:val="clear" w:pos="18pt"/>
          <w:tab w:val="num" w:pos="35.40pt"/>
        </w:tabs>
        <w:spacing w:line="18pt" w:lineRule="auto"/>
        <w:ind w:start="35.40pt"/>
        <w:jc w:val="both"/>
      </w:pPr>
      <w:r w:rsidRPr="008F7B36">
        <w:t>Śruby , podkładki służące do skręcania korpusu z pokrywą i komorą dolną – stal nie</w:t>
      </w:r>
      <w:r w:rsidR="00C25160">
        <w:t>rdzewna, lub stal kwasoodporna</w:t>
      </w:r>
    </w:p>
    <w:p w14:paraId="3ADC70ED" w14:textId="77777777" w:rsidR="002D786D" w:rsidRPr="008F7B36" w:rsidRDefault="002D786D" w:rsidP="002D786D">
      <w:pPr>
        <w:tabs>
          <w:tab w:val="num" w:pos="53.40pt"/>
        </w:tabs>
        <w:jc w:val="both"/>
        <w:rPr>
          <w:b/>
          <w:i/>
        </w:rPr>
      </w:pPr>
    </w:p>
    <w:p w14:paraId="35E5003A" w14:textId="77777777" w:rsidR="002D786D" w:rsidRPr="008F7B36" w:rsidRDefault="002D786D" w:rsidP="002D786D">
      <w:pPr>
        <w:tabs>
          <w:tab w:val="num" w:pos="53.40pt"/>
        </w:tabs>
        <w:jc w:val="both"/>
        <w:rPr>
          <w:b/>
          <w:i/>
        </w:rPr>
      </w:pPr>
    </w:p>
    <w:p w14:paraId="2D467987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u w:val="single"/>
        </w:rPr>
      </w:pPr>
      <w:r w:rsidRPr="008F7B36">
        <w:rPr>
          <w:b/>
          <w:u w:val="single"/>
        </w:rPr>
        <w:t>Ciśnienie:</w:t>
      </w:r>
    </w:p>
    <w:p w14:paraId="03B0FC53" w14:textId="77777777" w:rsidR="002D786D" w:rsidRPr="008F7B36" w:rsidRDefault="002D786D" w:rsidP="002D786D">
      <w:pPr>
        <w:ind w:start="17.40pt"/>
        <w:jc w:val="both"/>
        <w:rPr>
          <w:u w:val="single"/>
        </w:rPr>
      </w:pPr>
    </w:p>
    <w:p w14:paraId="37CCAC2F" w14:textId="77777777" w:rsidR="002D786D" w:rsidRPr="008F7B36" w:rsidRDefault="002D786D" w:rsidP="002D786D">
      <w:pPr>
        <w:numPr>
          <w:ilvl w:val="0"/>
          <w:numId w:val="17"/>
        </w:numPr>
        <w:jc w:val="both"/>
      </w:pPr>
      <w:r w:rsidRPr="008F7B36">
        <w:t xml:space="preserve">Hydranty dostosowane do pracy przy ciśnieniu min. 1,0 </w:t>
      </w:r>
      <w:proofErr w:type="spellStart"/>
      <w:r w:rsidRPr="008F7B36">
        <w:t>MPa</w:t>
      </w:r>
      <w:proofErr w:type="spellEnd"/>
      <w:r w:rsidRPr="008F7B36">
        <w:t xml:space="preserve">. </w:t>
      </w:r>
    </w:p>
    <w:p w14:paraId="41F64B1C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20AC4851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0C5F086C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u w:val="single"/>
        </w:rPr>
      </w:pPr>
      <w:r w:rsidRPr="008F7B36">
        <w:rPr>
          <w:b/>
          <w:u w:val="single"/>
        </w:rPr>
        <w:t>Uszczelnienie:</w:t>
      </w:r>
    </w:p>
    <w:p w14:paraId="34D2C52B" w14:textId="77777777" w:rsidR="002D786D" w:rsidRPr="008F7B36" w:rsidRDefault="002D786D" w:rsidP="002D786D">
      <w:pPr>
        <w:ind w:start="17.40pt"/>
        <w:jc w:val="both"/>
        <w:rPr>
          <w:u w:val="single"/>
        </w:rPr>
      </w:pPr>
    </w:p>
    <w:p w14:paraId="14E2C35D" w14:textId="77777777" w:rsidR="002D786D" w:rsidRPr="008F7B36" w:rsidRDefault="002D786D" w:rsidP="002D786D">
      <w:pPr>
        <w:pStyle w:val="Tekstpodstawowywcity"/>
        <w:numPr>
          <w:ilvl w:val="0"/>
          <w:numId w:val="17"/>
        </w:numPr>
        <w:spacing w:after="0pt" w:line="18pt" w:lineRule="auto"/>
        <w:ind w:start="35.70pt" w:hanging="17.85pt"/>
        <w:jc w:val="both"/>
      </w:pPr>
      <w:r w:rsidRPr="008F7B36">
        <w:t xml:space="preserve">Uszczelnienie trzpienia O-ringowe z gumy EPDM </w:t>
      </w:r>
    </w:p>
    <w:p w14:paraId="5A6D77DD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349C3227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673CC5FA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u w:val="single"/>
        </w:rPr>
      </w:pPr>
      <w:r w:rsidRPr="008F7B36">
        <w:rPr>
          <w:b/>
          <w:u w:val="single"/>
        </w:rPr>
        <w:t>Odwodnienie:</w:t>
      </w:r>
    </w:p>
    <w:p w14:paraId="2183F06C" w14:textId="77777777" w:rsidR="002D786D" w:rsidRPr="008F7B36" w:rsidRDefault="002D786D" w:rsidP="002D786D">
      <w:pPr>
        <w:ind w:start="17.40pt"/>
        <w:jc w:val="both"/>
      </w:pPr>
    </w:p>
    <w:p w14:paraId="5DAB2896" w14:textId="77777777" w:rsidR="002D786D" w:rsidRPr="008F7B36" w:rsidRDefault="002D786D" w:rsidP="002D786D">
      <w:pPr>
        <w:pStyle w:val="Tekstpodstawowywcity"/>
        <w:numPr>
          <w:ilvl w:val="0"/>
          <w:numId w:val="17"/>
        </w:numPr>
        <w:spacing w:after="0pt" w:line="18pt" w:lineRule="auto"/>
        <w:ind w:start="35.70pt" w:hanging="17.85pt"/>
        <w:jc w:val="both"/>
      </w:pPr>
      <w:r w:rsidRPr="008F7B36">
        <w:t>Hydrant powinien całkowicie się odwodnić z chwilą pełnego zamknięcia przepływu. W innych położeniach grzyba odwodnienie powinno być całkowicie szczelne. Odwodnienie w formie tulejki (kolanka) z wylotem skierowanym w stronę kołnierza, bądź w formie tworzywowej klapki osłonowej chroniącej wylot odwodnienia.</w:t>
      </w:r>
    </w:p>
    <w:p w14:paraId="0A40FC08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7A1163D8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0830445E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u w:val="single"/>
        </w:rPr>
      </w:pPr>
      <w:r w:rsidRPr="008F7B36">
        <w:rPr>
          <w:b/>
          <w:u w:val="single"/>
        </w:rPr>
        <w:t>Zabezpieczenie antykorozyjne:</w:t>
      </w:r>
    </w:p>
    <w:p w14:paraId="3EBB7708" w14:textId="77777777" w:rsidR="002D786D" w:rsidRPr="008F7B36" w:rsidRDefault="002D786D" w:rsidP="002D786D">
      <w:pPr>
        <w:ind w:start="17.40pt"/>
        <w:jc w:val="both"/>
      </w:pPr>
    </w:p>
    <w:p w14:paraId="38D2402E" w14:textId="3AA8DBF7" w:rsidR="002D786D" w:rsidRPr="008F7B36" w:rsidRDefault="002D786D" w:rsidP="002D786D">
      <w:pPr>
        <w:pStyle w:val="Tekstpodstawowywcity"/>
        <w:numPr>
          <w:ilvl w:val="0"/>
          <w:numId w:val="15"/>
        </w:numPr>
        <w:spacing w:after="0pt" w:line="18pt" w:lineRule="auto"/>
        <w:jc w:val="both"/>
      </w:pPr>
      <w:r w:rsidRPr="008F7B36">
        <w:t xml:space="preserve">Wszystkie elementy żeliwne (wewnętrzne i zewnętrzne) hydrantu zabezpieczone antykorozyjnie farbą produkowaną na bazie żywic epoksydowych o grubości od 250 . Kolumna hydrantu  pokryta zewnątrz i wewnątrz farbą epoksydowa o grubości od  250. </w:t>
      </w:r>
    </w:p>
    <w:p w14:paraId="74F4E91E" w14:textId="77777777" w:rsidR="002D786D" w:rsidRPr="00742238" w:rsidRDefault="002D786D" w:rsidP="002D786D">
      <w:pPr>
        <w:pStyle w:val="Tekstpodstawowywcity"/>
        <w:numPr>
          <w:ilvl w:val="0"/>
          <w:numId w:val="15"/>
        </w:numPr>
        <w:spacing w:after="0pt" w:line="18pt" w:lineRule="auto"/>
        <w:jc w:val="both"/>
        <w:rPr>
          <w:i/>
          <w:u w:val="single"/>
        </w:rPr>
      </w:pPr>
      <w:r w:rsidRPr="008F7B36">
        <w:t xml:space="preserve">Wszystkie elementy zewnętrzne pokryte powłoką odporną na promienie UV. </w:t>
      </w:r>
    </w:p>
    <w:p w14:paraId="7738AD28" w14:textId="77777777" w:rsidR="00742238" w:rsidRDefault="00742238" w:rsidP="00742238">
      <w:pPr>
        <w:pStyle w:val="Tekstpodstawowywcity"/>
        <w:spacing w:after="0pt" w:line="18pt" w:lineRule="auto"/>
        <w:jc w:val="both"/>
      </w:pPr>
    </w:p>
    <w:p w14:paraId="46F6B052" w14:textId="77777777" w:rsidR="00742238" w:rsidRDefault="00742238" w:rsidP="00742238">
      <w:pPr>
        <w:pStyle w:val="Tekstpodstawowywcity"/>
        <w:spacing w:after="0pt" w:line="18pt" w:lineRule="auto"/>
        <w:jc w:val="both"/>
      </w:pPr>
    </w:p>
    <w:p w14:paraId="590157AA" w14:textId="77777777" w:rsidR="00742238" w:rsidRPr="008F7B36" w:rsidRDefault="00742238" w:rsidP="00742238">
      <w:pPr>
        <w:pStyle w:val="Tekstpodstawowywcity"/>
        <w:spacing w:after="0pt" w:line="18pt" w:lineRule="auto"/>
        <w:jc w:val="both"/>
        <w:rPr>
          <w:i/>
          <w:u w:val="single"/>
        </w:rPr>
      </w:pPr>
    </w:p>
    <w:p w14:paraId="72A01DE1" w14:textId="77777777" w:rsidR="002D786D" w:rsidRDefault="002D786D" w:rsidP="002D786D">
      <w:pPr>
        <w:pStyle w:val="Tekstpodstawowywcity"/>
        <w:ind w:start="17.40pt"/>
        <w:jc w:val="both"/>
      </w:pPr>
    </w:p>
    <w:p w14:paraId="348A9AB7" w14:textId="77777777" w:rsidR="0051403C" w:rsidRPr="008F7B36" w:rsidRDefault="0051403C" w:rsidP="002D786D">
      <w:pPr>
        <w:pStyle w:val="Tekstpodstawowywcity"/>
        <w:ind w:start="17.40pt"/>
        <w:jc w:val="both"/>
      </w:pPr>
    </w:p>
    <w:p w14:paraId="03A735DB" w14:textId="77777777" w:rsidR="002D786D" w:rsidRPr="008F7B36" w:rsidRDefault="002D786D" w:rsidP="002D786D">
      <w:pPr>
        <w:pStyle w:val="Tekstpodstawowywcity"/>
        <w:ind w:start="17.40pt"/>
        <w:jc w:val="both"/>
      </w:pPr>
    </w:p>
    <w:p w14:paraId="40C9C270" w14:textId="77777777" w:rsidR="002D786D" w:rsidRPr="008F7B36" w:rsidRDefault="002D786D" w:rsidP="002D786D">
      <w:pPr>
        <w:pStyle w:val="Tekstpodstawowywcity"/>
        <w:numPr>
          <w:ilvl w:val="0"/>
          <w:numId w:val="16"/>
        </w:numPr>
        <w:tabs>
          <w:tab w:val="num" w:pos="53.40pt"/>
        </w:tabs>
        <w:spacing w:after="0pt"/>
        <w:jc w:val="both"/>
        <w:rPr>
          <w:b/>
          <w:u w:val="single"/>
        </w:rPr>
      </w:pPr>
      <w:r w:rsidRPr="008F7B36">
        <w:rPr>
          <w:b/>
          <w:u w:val="single"/>
        </w:rPr>
        <w:t>Eksploatacja:</w:t>
      </w:r>
    </w:p>
    <w:p w14:paraId="17351F27" w14:textId="77777777" w:rsidR="002D786D" w:rsidRPr="008F7B36" w:rsidRDefault="002D786D" w:rsidP="002D786D">
      <w:pPr>
        <w:pStyle w:val="Tekstpodstawowywcity"/>
        <w:ind w:start="17.40pt"/>
        <w:jc w:val="both"/>
      </w:pPr>
    </w:p>
    <w:p w14:paraId="6BF8D430" w14:textId="77777777" w:rsidR="002D786D" w:rsidRPr="008F7B36" w:rsidRDefault="002D786D" w:rsidP="002D786D">
      <w:pPr>
        <w:numPr>
          <w:ilvl w:val="0"/>
          <w:numId w:val="18"/>
        </w:numPr>
        <w:spacing w:line="18pt" w:lineRule="auto"/>
        <w:ind w:start="35.70pt" w:hanging="17.85pt"/>
        <w:jc w:val="both"/>
      </w:pPr>
      <w:r w:rsidRPr="008F7B36">
        <w:t>Możliwość wymiany elementów wewnętrznych bez konieczności demontażu hydrantu (wykopywania z ziemi).</w:t>
      </w:r>
    </w:p>
    <w:p w14:paraId="43F1180B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13343956" w14:textId="77777777" w:rsidR="002D786D" w:rsidRPr="008F7B36" w:rsidRDefault="002D786D" w:rsidP="002D786D">
      <w:pPr>
        <w:tabs>
          <w:tab w:val="num" w:pos="53.40pt"/>
        </w:tabs>
        <w:jc w:val="both"/>
      </w:pPr>
    </w:p>
    <w:p w14:paraId="55885BD4" w14:textId="77777777" w:rsidR="002D786D" w:rsidRPr="008F7B36" w:rsidRDefault="002D786D" w:rsidP="002D786D">
      <w:pPr>
        <w:numPr>
          <w:ilvl w:val="0"/>
          <w:numId w:val="16"/>
        </w:numPr>
        <w:tabs>
          <w:tab w:val="num" w:pos="53.40pt"/>
        </w:tabs>
        <w:jc w:val="both"/>
        <w:rPr>
          <w:b/>
          <w:u w:val="single"/>
        </w:rPr>
      </w:pPr>
      <w:r w:rsidRPr="008F7B36">
        <w:rPr>
          <w:b/>
          <w:u w:val="single"/>
        </w:rPr>
        <w:t>Dokumenty wymagane:</w:t>
      </w:r>
    </w:p>
    <w:p w14:paraId="6B37A7B5" w14:textId="77777777" w:rsidR="002D786D" w:rsidRPr="008F7B36" w:rsidRDefault="002D786D" w:rsidP="002D786D">
      <w:pPr>
        <w:ind w:start="17.40pt"/>
        <w:jc w:val="both"/>
      </w:pPr>
    </w:p>
    <w:p w14:paraId="5129C6D6" w14:textId="77777777" w:rsidR="002D786D" w:rsidRPr="008F7B36" w:rsidRDefault="002D786D" w:rsidP="002D786D">
      <w:pPr>
        <w:numPr>
          <w:ilvl w:val="0"/>
          <w:numId w:val="11"/>
        </w:numPr>
        <w:tabs>
          <w:tab w:val="num" w:pos="0.60pt"/>
        </w:tabs>
        <w:jc w:val="both"/>
      </w:pPr>
      <w:r w:rsidRPr="008F7B36">
        <w:t>Aktualny atest PZH</w:t>
      </w:r>
    </w:p>
    <w:p w14:paraId="4ABDD1CA" w14:textId="77777777" w:rsidR="002D786D" w:rsidRPr="008F7B36" w:rsidRDefault="002D786D" w:rsidP="002D786D">
      <w:pPr>
        <w:ind w:start="18pt"/>
        <w:jc w:val="both"/>
      </w:pPr>
    </w:p>
    <w:p w14:paraId="6F260840" w14:textId="77777777" w:rsidR="002D786D" w:rsidRPr="008F7B36" w:rsidRDefault="002D786D" w:rsidP="002D786D">
      <w:pPr>
        <w:numPr>
          <w:ilvl w:val="0"/>
          <w:numId w:val="11"/>
        </w:numPr>
        <w:tabs>
          <w:tab w:val="num" w:pos="0.60pt"/>
        </w:tabs>
        <w:spacing w:line="18pt" w:lineRule="auto"/>
        <w:ind w:start="35.70pt" w:hanging="17.85pt"/>
        <w:jc w:val="both"/>
        <w:rPr>
          <w:color w:val="000000"/>
        </w:rPr>
      </w:pPr>
      <w:r w:rsidRPr="008F7B36">
        <w:rPr>
          <w:color w:val="000000"/>
        </w:rPr>
        <w:t xml:space="preserve">Świadectwo Dopuszczenia  CNBOP </w:t>
      </w:r>
      <w:r w:rsidRPr="008F7B36">
        <w:t>wydany przez Centrum Naukowo-Badawcze Ochrony Przeciwpożarowej im. Józefa Tuliszkowskiego w Józefowie</w:t>
      </w:r>
    </w:p>
    <w:p w14:paraId="21175F3C" w14:textId="77777777" w:rsidR="002D786D" w:rsidRPr="008F7B36" w:rsidRDefault="002D786D" w:rsidP="002D786D">
      <w:pPr>
        <w:ind w:start="18pt"/>
        <w:jc w:val="both"/>
      </w:pPr>
    </w:p>
    <w:p w14:paraId="18AD4E80" w14:textId="77777777" w:rsidR="002D786D" w:rsidRDefault="002D786D" w:rsidP="002D786D">
      <w:pPr>
        <w:numPr>
          <w:ilvl w:val="0"/>
          <w:numId w:val="11"/>
        </w:numPr>
        <w:tabs>
          <w:tab w:val="num" w:pos="0.60pt"/>
        </w:tabs>
        <w:spacing w:line="18pt" w:lineRule="auto"/>
        <w:ind w:start="35.70pt" w:hanging="17.85pt"/>
        <w:jc w:val="both"/>
      </w:pPr>
      <w:r w:rsidRPr="008F7B36">
        <w:t xml:space="preserve">Karta katalogowa producenta oferowanych materiałów, która powinna zawierać co najmniej zdjęcie bądź rysunek zamawianego hydrantu, opis materiałowy wraz z podaniem dokładnych wymiarów   </w:t>
      </w:r>
    </w:p>
    <w:p w14:paraId="4BA945D6" w14:textId="77777777" w:rsidR="00882D67" w:rsidRPr="008F7B36" w:rsidRDefault="00882D67" w:rsidP="00882D67">
      <w:pPr>
        <w:spacing w:line="18pt" w:lineRule="auto"/>
        <w:jc w:val="both"/>
      </w:pPr>
    </w:p>
    <w:p w14:paraId="37E90B91" w14:textId="77777777" w:rsidR="002D786D" w:rsidRPr="008F7B36" w:rsidRDefault="002D786D" w:rsidP="002D786D">
      <w:pPr>
        <w:jc w:val="both"/>
      </w:pPr>
    </w:p>
    <w:p w14:paraId="026D97F1" w14:textId="77777777" w:rsidR="002D786D" w:rsidRPr="008F7B36" w:rsidRDefault="002D786D" w:rsidP="002D786D">
      <w:pPr>
        <w:numPr>
          <w:ilvl w:val="0"/>
          <w:numId w:val="11"/>
        </w:numPr>
        <w:tabs>
          <w:tab w:val="num" w:pos="0.60pt"/>
        </w:tabs>
        <w:jc w:val="both"/>
      </w:pPr>
      <w:r w:rsidRPr="008F7B36">
        <w:t>Certyfikat zgodności lub Deklaracja właściwości użytkowych lub  Aprobata techniczna</w:t>
      </w:r>
    </w:p>
    <w:p w14:paraId="416A98FF" w14:textId="77777777" w:rsidR="002D786D" w:rsidRPr="008F7B36" w:rsidRDefault="002D786D" w:rsidP="002D786D">
      <w:pPr>
        <w:pStyle w:val="Akapitzlist"/>
      </w:pPr>
    </w:p>
    <w:p w14:paraId="317C3B11" w14:textId="77777777" w:rsidR="002D786D" w:rsidRPr="008F7B36" w:rsidRDefault="002D786D" w:rsidP="002D786D">
      <w:pPr>
        <w:ind w:start="36pt"/>
        <w:jc w:val="both"/>
      </w:pPr>
    </w:p>
    <w:p w14:paraId="05F2D026" w14:textId="77777777" w:rsidR="002D786D" w:rsidRPr="008F7B36" w:rsidRDefault="002D786D" w:rsidP="002D786D">
      <w:pPr>
        <w:numPr>
          <w:ilvl w:val="0"/>
          <w:numId w:val="21"/>
        </w:numPr>
        <w:tabs>
          <w:tab w:val="start" w:pos="18pt"/>
        </w:tabs>
        <w:spacing w:line="18pt" w:lineRule="auto"/>
        <w:ind w:start="35.70pt" w:hanging="17.85pt"/>
        <w:rPr>
          <w:color w:val="000000"/>
          <w:szCs w:val="24"/>
        </w:rPr>
      </w:pPr>
      <w:r w:rsidRPr="008F7B36">
        <w:rPr>
          <w:color w:val="000000"/>
          <w:szCs w:val="24"/>
        </w:rPr>
        <w:t>Certyfikat RAL</w:t>
      </w:r>
      <w:r w:rsidRPr="008F7B36">
        <w:rPr>
          <w:b/>
          <w:szCs w:val="24"/>
        </w:rPr>
        <w:t xml:space="preserve"> </w:t>
      </w:r>
      <w:r w:rsidRPr="008F7B36">
        <w:rPr>
          <w:bCs/>
          <w:szCs w:val="24"/>
        </w:rPr>
        <w:t>na zabezpieczenie a</w:t>
      </w:r>
      <w:r w:rsidR="0022362B">
        <w:rPr>
          <w:bCs/>
          <w:szCs w:val="24"/>
        </w:rPr>
        <w:t>ntykorozyjne lub inny</w:t>
      </w:r>
      <w:r w:rsidRPr="008F7B36">
        <w:rPr>
          <w:bCs/>
          <w:szCs w:val="24"/>
        </w:rPr>
        <w:t xml:space="preserve"> dokument</w:t>
      </w:r>
      <w:r w:rsidR="0022362B">
        <w:rPr>
          <w:bCs/>
          <w:szCs w:val="24"/>
        </w:rPr>
        <w:t xml:space="preserve"> </w:t>
      </w:r>
      <w:r w:rsidRPr="008F7B36">
        <w:rPr>
          <w:bCs/>
          <w:szCs w:val="24"/>
        </w:rPr>
        <w:t>wydany przez</w:t>
      </w:r>
      <w:r w:rsidRPr="008F7B36">
        <w:rPr>
          <w:color w:val="000000"/>
          <w:szCs w:val="24"/>
        </w:rPr>
        <w:t xml:space="preserve"> niezależną </w:t>
      </w:r>
      <w:r w:rsidR="00C80686">
        <w:rPr>
          <w:color w:val="000000"/>
          <w:szCs w:val="24"/>
        </w:rPr>
        <w:t>jednostkę badawczą</w:t>
      </w:r>
      <w:r w:rsidRPr="008F7B36">
        <w:rPr>
          <w:color w:val="000000"/>
          <w:szCs w:val="24"/>
        </w:rPr>
        <w:t>, potwierdzający wykonanie następujących badań:</w:t>
      </w:r>
    </w:p>
    <w:p w14:paraId="4ADCDE1F" w14:textId="2929447E" w:rsidR="002D786D" w:rsidRPr="008F7B36" w:rsidRDefault="002D786D" w:rsidP="0051403C">
      <w:pPr>
        <w:tabs>
          <w:tab w:val="start" w:pos="18pt"/>
        </w:tabs>
        <w:spacing w:line="18pt" w:lineRule="auto"/>
        <w:ind w:start="26.90pt" w:hanging="9.05pt"/>
        <w:rPr>
          <w:color w:val="000000"/>
          <w:szCs w:val="24"/>
        </w:rPr>
      </w:pP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  <w:t>-</w:t>
      </w:r>
      <w:r w:rsidRPr="008F7B36">
        <w:rPr>
          <w:color w:val="000000"/>
          <w:szCs w:val="24"/>
        </w:rPr>
        <w:tab/>
        <w:t xml:space="preserve">kontrola czystości powierzchni odlewu - wymagana czystość minimum </w:t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  <w:t>SA2,</w:t>
      </w:r>
      <w:r w:rsidR="006940D8">
        <w:rPr>
          <w:color w:val="000000"/>
          <w:szCs w:val="24"/>
        </w:rPr>
        <w:t>5</w:t>
      </w:r>
      <w:r w:rsidRPr="008F7B36">
        <w:rPr>
          <w:color w:val="000000"/>
          <w:szCs w:val="24"/>
        </w:rPr>
        <w:br/>
      </w:r>
      <w:r w:rsidRPr="008F7B36">
        <w:rPr>
          <w:color w:val="000000"/>
          <w:szCs w:val="24"/>
        </w:rPr>
        <w:tab/>
        <w:t>-</w:t>
      </w:r>
      <w:r w:rsidRPr="008F7B36">
        <w:rPr>
          <w:color w:val="000000"/>
          <w:szCs w:val="24"/>
        </w:rPr>
        <w:tab/>
        <w:t xml:space="preserve">badanie grubość powłoki epoksydowej (zakres dopuszczalny od 250 </w:t>
      </w:r>
    </w:p>
    <w:p w14:paraId="16422780" w14:textId="77777777" w:rsidR="002D786D" w:rsidRPr="008F7B36" w:rsidRDefault="002D786D" w:rsidP="002D786D">
      <w:pPr>
        <w:tabs>
          <w:tab w:val="start" w:pos="18pt"/>
        </w:tabs>
        <w:spacing w:line="18pt" w:lineRule="auto"/>
        <w:ind w:start="26.90pt" w:hanging="9.05pt"/>
        <w:rPr>
          <w:color w:val="000000"/>
          <w:szCs w:val="24"/>
        </w:rPr>
      </w:pP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  <w:t>-</w:t>
      </w:r>
      <w:r w:rsidRPr="008F7B36">
        <w:rPr>
          <w:color w:val="000000"/>
          <w:szCs w:val="24"/>
        </w:rPr>
        <w:tab/>
        <w:t>badanie odporność na przebicie prądem stałym,</w:t>
      </w:r>
    </w:p>
    <w:p w14:paraId="02F223FC" w14:textId="77777777" w:rsidR="002D786D" w:rsidRPr="008F7B36" w:rsidRDefault="002D786D" w:rsidP="002D786D">
      <w:pPr>
        <w:tabs>
          <w:tab w:val="start" w:pos="18pt"/>
        </w:tabs>
        <w:spacing w:line="18pt" w:lineRule="auto"/>
        <w:ind w:start="26.90pt" w:hanging="9.05pt"/>
        <w:rPr>
          <w:color w:val="000000"/>
          <w:szCs w:val="24"/>
        </w:rPr>
      </w:pP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</w:r>
      <w:r w:rsidRPr="008F7B36">
        <w:rPr>
          <w:color w:val="000000"/>
          <w:szCs w:val="24"/>
        </w:rPr>
        <w:tab/>
        <w:t>-</w:t>
      </w:r>
      <w:r w:rsidRPr="008F7B36">
        <w:rPr>
          <w:color w:val="000000"/>
          <w:szCs w:val="24"/>
        </w:rPr>
        <w:tab/>
        <w:t>badanie przyczepności powłoki.</w:t>
      </w:r>
    </w:p>
    <w:p w14:paraId="1E5B1CCB" w14:textId="77777777" w:rsidR="002D786D" w:rsidRDefault="002D786D" w:rsidP="00882D67">
      <w:pPr>
        <w:tabs>
          <w:tab w:val="start" w:pos="18pt"/>
        </w:tabs>
        <w:spacing w:line="18pt" w:lineRule="auto"/>
        <w:ind w:start="70.40pt" w:hanging="43.50pt"/>
        <w:rPr>
          <w:szCs w:val="24"/>
        </w:rPr>
      </w:pPr>
      <w:r w:rsidRPr="008F7B36">
        <w:rPr>
          <w:color w:val="000000"/>
          <w:szCs w:val="24"/>
        </w:rPr>
        <w:t xml:space="preserve">   -</w:t>
      </w:r>
      <w:r w:rsidRPr="008F7B36">
        <w:rPr>
          <w:color w:val="000000"/>
          <w:szCs w:val="24"/>
        </w:rPr>
        <w:tab/>
        <w:t xml:space="preserve">badanie odporności powłoki na uderzenia </w:t>
      </w:r>
      <w:r w:rsidRPr="008F7B36">
        <w:rPr>
          <w:szCs w:val="24"/>
        </w:rPr>
        <w:t xml:space="preserve">(test obciążnika spadającego z wysokości 1 m z pracą uderzeniową 5 </w:t>
      </w:r>
      <w:proofErr w:type="spellStart"/>
      <w:r w:rsidRPr="008F7B36">
        <w:rPr>
          <w:szCs w:val="24"/>
        </w:rPr>
        <w:t>Nm</w:t>
      </w:r>
      <w:proofErr w:type="spellEnd"/>
      <w:r w:rsidRPr="008F7B36">
        <w:rPr>
          <w:szCs w:val="24"/>
        </w:rPr>
        <w:t>).</w:t>
      </w:r>
    </w:p>
    <w:p w14:paraId="286C4B9A" w14:textId="77777777" w:rsidR="00882D67" w:rsidRDefault="00882D67" w:rsidP="00882D67">
      <w:pPr>
        <w:tabs>
          <w:tab w:val="start" w:pos="18pt"/>
        </w:tabs>
        <w:spacing w:line="18pt" w:lineRule="auto"/>
        <w:ind w:start="70.40pt" w:hanging="43.50pt"/>
        <w:rPr>
          <w:szCs w:val="24"/>
        </w:rPr>
      </w:pPr>
    </w:p>
    <w:p w14:paraId="304F887A" w14:textId="77777777" w:rsidR="0051403C" w:rsidRPr="008F7B36" w:rsidRDefault="0051403C" w:rsidP="00882D67">
      <w:pPr>
        <w:tabs>
          <w:tab w:val="start" w:pos="18pt"/>
        </w:tabs>
        <w:spacing w:line="18pt" w:lineRule="auto"/>
        <w:ind w:start="70.40pt" w:hanging="43.50pt"/>
        <w:rPr>
          <w:szCs w:val="24"/>
        </w:rPr>
      </w:pPr>
    </w:p>
    <w:p w14:paraId="6DBE3B60" w14:textId="1B9B8D21" w:rsidR="0022362B" w:rsidRDefault="00882D67" w:rsidP="00742238">
      <w:pPr>
        <w:tabs>
          <w:tab w:val="start" w:pos="18pt"/>
        </w:tabs>
        <w:spacing w:line="18pt" w:lineRule="auto"/>
        <w:ind w:start="43.50pt" w:hanging="43.50pt"/>
        <w:rPr>
          <w:szCs w:val="24"/>
        </w:rPr>
      </w:pPr>
      <w:r>
        <w:rPr>
          <w:szCs w:val="24"/>
        </w:rPr>
        <w:t xml:space="preserve">         </w:t>
      </w:r>
      <w:r w:rsidR="002D786D" w:rsidRPr="008F7B36">
        <w:rPr>
          <w:szCs w:val="24"/>
        </w:rPr>
        <w:t xml:space="preserve">    </w:t>
      </w:r>
    </w:p>
    <w:p w14:paraId="35F8C929" w14:textId="77777777" w:rsidR="0022362B" w:rsidRPr="001E711F" w:rsidRDefault="0022362B" w:rsidP="0022362B">
      <w:pPr>
        <w:autoSpaceDE w:val="0"/>
        <w:autoSpaceDN w:val="0"/>
        <w:adjustRightInd w:val="0"/>
        <w:spacing w:after="6pt" w:line="13.80pt" w:lineRule="auto"/>
        <w:jc w:val="both"/>
        <w:rPr>
          <w:rFonts w:ascii="Arial" w:hAnsi="Arial" w:cs="Arial"/>
          <w:bCs/>
          <w:color w:val="000000"/>
        </w:rPr>
      </w:pPr>
      <w:r w:rsidRPr="001E711F">
        <w:rPr>
          <w:rFonts w:ascii="Arial" w:hAnsi="Arial" w:cs="Arial"/>
          <w:bCs/>
          <w:color w:val="000000"/>
        </w:rPr>
        <w:lastRenderedPageBreak/>
        <w:t xml:space="preserve">Dokument wydany przez niezależną </w:t>
      </w:r>
      <w:r w:rsidR="00C80686">
        <w:rPr>
          <w:rFonts w:ascii="Arial" w:hAnsi="Arial" w:cs="Arial"/>
          <w:bCs/>
          <w:color w:val="000000"/>
        </w:rPr>
        <w:t>jednostkę badawczą</w:t>
      </w:r>
      <w:r w:rsidRPr="001E711F">
        <w:rPr>
          <w:rFonts w:ascii="Arial" w:hAnsi="Arial" w:cs="Arial"/>
          <w:bCs/>
          <w:color w:val="000000"/>
        </w:rPr>
        <w:t xml:space="preserve"> na zabezpieczenie antykorozyjne Zama</w:t>
      </w:r>
      <w:r w:rsidR="00C80686">
        <w:rPr>
          <w:rFonts w:ascii="Arial" w:hAnsi="Arial" w:cs="Arial"/>
          <w:bCs/>
          <w:color w:val="000000"/>
        </w:rPr>
        <w:t>wiający uznaje za ważny przez 24 miesiące</w:t>
      </w:r>
      <w:r w:rsidRPr="001E711F">
        <w:rPr>
          <w:rFonts w:ascii="Arial" w:hAnsi="Arial" w:cs="Arial"/>
          <w:bCs/>
          <w:color w:val="000000"/>
        </w:rPr>
        <w:t xml:space="preserve"> od dnia jego wydania. </w:t>
      </w:r>
    </w:p>
    <w:p w14:paraId="244A0A54" w14:textId="77777777" w:rsidR="0022362B" w:rsidRDefault="0022362B" w:rsidP="0022362B">
      <w:pPr>
        <w:autoSpaceDE w:val="0"/>
        <w:autoSpaceDN w:val="0"/>
        <w:adjustRightInd w:val="0"/>
        <w:spacing w:after="6p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Przez cały okres obowiązywania umowy Zamawiający wymaga od Oferenta aktualnych wyników badań zabezpieczenia antykorozyjnego armatury objętej niniejszym postępowaniem (potwierdzonych certyfikatem RAL lub innym dokumentem wydanym przez niezależną </w:t>
      </w:r>
      <w:r w:rsidR="00201383">
        <w:rPr>
          <w:rFonts w:ascii="Arial" w:hAnsi="Arial" w:cs="Arial"/>
          <w:bCs/>
          <w:color w:val="000000"/>
        </w:rPr>
        <w:t>jednostkę badawczą</w:t>
      </w:r>
      <w:r>
        <w:rPr>
          <w:rFonts w:ascii="Arial" w:hAnsi="Arial" w:cs="Arial"/>
          <w:bCs/>
          <w:color w:val="000000"/>
        </w:rPr>
        <w:t>).</w:t>
      </w:r>
    </w:p>
    <w:p w14:paraId="04D1C6CA" w14:textId="3AC7BDF5" w:rsidR="00882D67" w:rsidRPr="00742238" w:rsidRDefault="00201383" w:rsidP="00742238">
      <w:pPr>
        <w:autoSpaceDE w:val="0"/>
        <w:autoSpaceDN w:val="0"/>
        <w:adjustRightInd w:val="0"/>
        <w:spacing w:after="6p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Wyniki badań muszą być przeprowadzone na przedmiotowej armaturze (korpus górny lub dolny hydrantu podziemnego</w:t>
      </w:r>
    </w:p>
    <w:p w14:paraId="6870F11C" w14:textId="6160AA6D" w:rsidR="00882D67" w:rsidRPr="00742238" w:rsidRDefault="00882D67" w:rsidP="00742238">
      <w:pPr>
        <w:autoSpaceDE w:val="0"/>
        <w:autoSpaceDN w:val="0"/>
        <w:adjustRightInd w:val="0"/>
        <w:ind w:start="35.40pt"/>
        <w:rPr>
          <w:rFonts w:ascii="Garamond" w:eastAsiaTheme="minorHAnsi" w:hAnsi="Garamond" w:cs="Garamond"/>
          <w:szCs w:val="24"/>
          <w:lang w:eastAsia="en-US"/>
        </w:rPr>
      </w:pPr>
      <w:r w:rsidRPr="00882D67">
        <w:rPr>
          <w:rFonts w:ascii="Garamond" w:eastAsiaTheme="minorHAnsi" w:hAnsi="Garamond" w:cs="Garamond"/>
          <w:szCs w:val="24"/>
          <w:lang w:eastAsia="en-US"/>
        </w:rPr>
        <w:t xml:space="preserve">                </w:t>
      </w:r>
    </w:p>
    <w:p w14:paraId="4FDEBF9A" w14:textId="77777777" w:rsidR="002D786D" w:rsidRDefault="002D786D" w:rsidP="00882D67">
      <w:pPr>
        <w:tabs>
          <w:tab w:val="start" w:pos="18pt"/>
        </w:tabs>
        <w:spacing w:line="18pt" w:lineRule="auto"/>
        <w:rPr>
          <w:bCs/>
          <w:color w:val="000000"/>
          <w:szCs w:val="24"/>
        </w:rPr>
      </w:pPr>
    </w:p>
    <w:p w14:paraId="2F694E2A" w14:textId="77777777" w:rsidR="002D786D" w:rsidRPr="008F7B36" w:rsidRDefault="002D786D" w:rsidP="002D786D">
      <w:pPr>
        <w:jc w:val="both"/>
      </w:pPr>
    </w:p>
    <w:p w14:paraId="75E86537" w14:textId="77777777" w:rsidR="002D786D" w:rsidRPr="008F7B36" w:rsidRDefault="002D786D" w:rsidP="00201383">
      <w:pPr>
        <w:jc w:val="both"/>
        <w:rPr>
          <w:b/>
          <w:u w:val="single"/>
        </w:rPr>
      </w:pPr>
    </w:p>
    <w:p w14:paraId="6F7FE584" w14:textId="77777777" w:rsidR="002D786D" w:rsidRPr="008F7B36" w:rsidRDefault="002D786D" w:rsidP="002D786D">
      <w:pPr>
        <w:ind w:start="18pt"/>
        <w:jc w:val="both"/>
        <w:rPr>
          <w:u w:val="single"/>
        </w:rPr>
      </w:pPr>
    </w:p>
    <w:p w14:paraId="1894E095" w14:textId="77777777" w:rsidR="002D786D" w:rsidRPr="008F7B36" w:rsidRDefault="002D786D" w:rsidP="002D786D">
      <w:pPr>
        <w:jc w:val="both"/>
        <w:rPr>
          <w:b/>
          <w:bCs/>
        </w:rPr>
      </w:pPr>
    </w:p>
    <w:p w14:paraId="22786FB3" w14:textId="77777777" w:rsidR="002D786D" w:rsidRDefault="002D786D" w:rsidP="002D786D">
      <w:pPr>
        <w:jc w:val="both"/>
      </w:pPr>
    </w:p>
    <w:p w14:paraId="0161E904" w14:textId="77777777" w:rsidR="002D786D" w:rsidRDefault="002D786D" w:rsidP="002D786D">
      <w:pPr>
        <w:ind w:start="70.80pt"/>
        <w:jc w:val="both"/>
      </w:pPr>
    </w:p>
    <w:p w14:paraId="243500C4" w14:textId="77777777" w:rsidR="002D786D" w:rsidRDefault="002D786D"/>
    <w:sectPr w:rsidR="002D786D">
      <w:headerReference w:type="even" r:id="rId7"/>
      <w:headerReference w:type="default" r:id="rId8"/>
      <w:headerReference w:type="first" r:id="rId9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1F48D4" w14:textId="77777777" w:rsidR="00742238" w:rsidRDefault="00742238" w:rsidP="00742238">
      <w:r>
        <w:separator/>
      </w:r>
    </w:p>
  </w:endnote>
  <w:endnote w:type="continuationSeparator" w:id="0">
    <w:p w14:paraId="6714FECC" w14:textId="77777777" w:rsidR="00742238" w:rsidRDefault="00742238" w:rsidP="007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8363B4" w14:textId="77777777" w:rsidR="00742238" w:rsidRDefault="00742238" w:rsidP="00742238">
      <w:r>
        <w:separator/>
      </w:r>
    </w:p>
  </w:footnote>
  <w:footnote w:type="continuationSeparator" w:id="0">
    <w:p w14:paraId="0AB54106" w14:textId="77777777" w:rsidR="00742238" w:rsidRDefault="00742238" w:rsidP="0074223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C842EA8" w14:textId="0039E1F4" w:rsidR="00742238" w:rsidRDefault="00742238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79DF953" wp14:editId="2C216AB0">
          <wp:simplePos x="635" y="635"/>
          <wp:positionH relativeFrom="page">
            <wp:align>left</wp:align>
          </wp:positionH>
          <wp:positionV relativeFrom="page">
            <wp:align>top</wp:align>
          </wp:positionV>
          <wp:extent cx="443865" cy="443865"/>
          <wp:effectExtent l="0" t="0" r="13335" b="16510"/>
          <wp:wrapNone/>
          <wp:docPr id="2" name="Pole tekstowe 2" descr="Korespondencja Wewnętrzna Aquanet SA">
            <a:extLst xmlns:a="http://purl.oclc.org/ooxml/drawingml/main">
              <a:ext uri="{5AE41FA2-C0FF-4470-9BD4-5FADCA87CBE2}">
                <aclsh:classification xmlns:aclsh="http://schemas.microsoft.com/office/drawing/2020/classificationShape" classificationOutcomeType="hdr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4438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wp:spPr>
                <wp:txbx>
                  <wne:txbxContent>
                    <w:p w14:paraId="2C040345" w14:textId="30FE36D3" w:rsidR="00742238" w:rsidRPr="00742238" w:rsidRDefault="00742238" w:rsidP="00742238">
                      <w:pPr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</w:pPr>
                      <w:r w:rsidRPr="00742238"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none" lIns="254000" tIns="190500" rIns="0" bIns="0" numCol="1" spcCol="0" rtlCol="0" fromWordArt="0" anchor="t" anchorCtr="0" forceAA="0" compatLnSpc="1">
                  <a:prstTxWarp prst="textNoShape">
                    <a:avLst/>
                  </a:prstTxWarp>
                  <a:spAutoFit/>
                </wp:bodyPr>
              </wp:wsp>
            </a:graphicData>
          </a:graphic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9B0B74" w14:textId="2F8D136D" w:rsidR="00742238" w:rsidRDefault="00742238">
    <w:pPr>
      <w:pStyle w:val="Nagwek"/>
    </w:pPr>
    <w:r>
      <w:rPr>
        <w:noProof/>
      </w:rPr>
      <w:drawing>
        <wp:anchor distT="0" distB="0" distL="0" distR="0" simplePos="0" relativeHeight="251660288" behindDoc="0" locked="0" layoutInCell="1" allowOverlap="1" wp14:anchorId="522F1490" wp14:editId="52C1DD5C">
          <wp:simplePos x="900545" y="450273"/>
          <wp:positionH relativeFrom="page">
            <wp:align>left</wp:align>
          </wp:positionH>
          <wp:positionV relativeFrom="page">
            <wp:align>top</wp:align>
          </wp:positionV>
          <wp:extent cx="443865" cy="443865"/>
          <wp:effectExtent l="0" t="0" r="13335" b="16510"/>
          <wp:wrapNone/>
          <wp:docPr id="3" name="Pole tekstowe 3" descr="Korespondencja Wewnętrzna Aquanet SA">
            <a:extLst xmlns:a="http://purl.oclc.org/ooxml/drawingml/main">
              <a:ext uri="{5AE41FA2-C0FF-4470-9BD4-5FADCA87CBE2}">
                <aclsh:classification xmlns:aclsh="http://schemas.microsoft.com/office/drawing/2020/classificationShape" classificationOutcomeType="hdr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4438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wp:spPr>
                <wp:txbx>
                  <wne:txbxContent>
                    <w:p w14:paraId="267C56B8" w14:textId="0B17A7EA" w:rsidR="00742238" w:rsidRPr="00742238" w:rsidRDefault="00742238" w:rsidP="00742238">
                      <w:pPr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</w:pPr>
                      <w:r w:rsidRPr="00742238"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none" lIns="254000" tIns="190500" rIns="0" bIns="0" numCol="1" spcCol="0" rtlCol="0" fromWordArt="0" anchor="t" anchorCtr="0" forceAA="0" compatLnSpc="1">
                  <a:prstTxWarp prst="textNoShape">
                    <a:avLst/>
                  </a:prstTxWarp>
                  <a:spAutoFit/>
                </wp:bodyPr>
              </wp:wsp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15B3516" w14:textId="7004B94C" w:rsidR="00742238" w:rsidRDefault="00742238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0457B25" wp14:editId="20B25B13">
          <wp:simplePos x="635" y="635"/>
          <wp:positionH relativeFrom="page">
            <wp:align>left</wp:align>
          </wp:positionH>
          <wp:positionV relativeFrom="page">
            <wp:align>top</wp:align>
          </wp:positionV>
          <wp:extent cx="443865" cy="443865"/>
          <wp:effectExtent l="0" t="0" r="13335" b="16510"/>
          <wp:wrapNone/>
          <wp:docPr id="1" name="Pole tekstowe 1" descr="Korespondencja Wewnętrzna Aquanet SA">
            <a:extLst xmlns:a="http://purl.oclc.org/ooxml/drawingml/main">
              <a:ext uri="{5AE41FA2-C0FF-4470-9BD4-5FADCA87CBE2}">
                <aclsh:classification xmlns:aclsh="http://schemas.microsoft.com/office/drawing/2020/classificationShape" classificationOutcomeType="hdr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4438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wp:spPr>
                <wp:txbx>
                  <wne:txbxContent>
                    <w:p w14:paraId="3E961FA1" w14:textId="204847D2" w:rsidR="00742238" w:rsidRPr="00742238" w:rsidRDefault="00742238" w:rsidP="00742238">
                      <w:pPr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</w:pPr>
                      <w:r w:rsidRPr="00742238">
                        <w:rPr>
                          <w:rFonts w:ascii="Calibri" w:eastAsia="Calibri" w:hAnsi="Calibri" w:cs="Calibri"/>
                          <w:noProof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none" lIns="254000" tIns="190500" rIns="0" bIns="0" numCol="1" spcCol="0" rtlCol="0" fromWordArt="0" anchor="t" anchorCtr="0" forceAA="0" compatLnSpc="1">
                  <a:prstTxWarp prst="textNoShape">
                    <a:avLst/>
                  </a:prstTxWarp>
                  <a:spAutoFit/>
                </wp:bodyPr>
              </wp:wsp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1" w15:restartNumberingAfterBreak="0">
    <w:nsid w:val="05EC5070"/>
    <w:multiLevelType w:val="hybridMultilevel"/>
    <w:tmpl w:val="1ECAA272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09BA5C74"/>
    <w:multiLevelType w:val="hybridMultilevel"/>
    <w:tmpl w:val="282CA1C4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2D64E69"/>
    <w:multiLevelType w:val="hybridMultilevel"/>
    <w:tmpl w:val="CE0E945E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6167843"/>
    <w:multiLevelType w:val="singleLevel"/>
    <w:tmpl w:val="0415000F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1A601211"/>
    <w:multiLevelType w:val="hybridMultilevel"/>
    <w:tmpl w:val="AE185838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0C60E9B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7" w15:restartNumberingAfterBreak="0">
    <w:nsid w:val="27A51098"/>
    <w:multiLevelType w:val="hybridMultilevel"/>
    <w:tmpl w:val="9C4C8918"/>
    <w:lvl w:ilvl="0" w:tplc="04150001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7D303F2"/>
    <w:multiLevelType w:val="hybridMultilevel"/>
    <w:tmpl w:val="39B8A290"/>
    <w:lvl w:ilvl="0" w:tplc="04150005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25D8C"/>
    <w:multiLevelType w:val="hybridMultilevel"/>
    <w:tmpl w:val="11786EC8"/>
    <w:lvl w:ilvl="0" w:tplc="FFFFFFFF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D217637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2E8B3497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2" w15:restartNumberingAfterBreak="0">
    <w:nsid w:val="3056064E"/>
    <w:multiLevelType w:val="singleLevel"/>
    <w:tmpl w:val="9456212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8"/>
      </w:rPr>
    </w:lvl>
  </w:abstractNum>
  <w:abstractNum w:abstractNumId="13" w15:restartNumberingAfterBreak="0">
    <w:nsid w:val="31E97B5C"/>
    <w:multiLevelType w:val="hybridMultilevel"/>
    <w:tmpl w:val="7AFE00C6"/>
    <w:lvl w:ilvl="0" w:tplc="FFFFFFFF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4654962"/>
    <w:multiLevelType w:val="hybridMultilevel"/>
    <w:tmpl w:val="DD0A4782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E1C767F"/>
    <w:multiLevelType w:val="hybridMultilevel"/>
    <w:tmpl w:val="63D8C984"/>
    <w:lvl w:ilvl="0" w:tplc="FFFFFFFF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B152F10"/>
    <w:multiLevelType w:val="hybridMultilevel"/>
    <w:tmpl w:val="10C011BC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3733613"/>
    <w:multiLevelType w:val="singleLevel"/>
    <w:tmpl w:val="04150001"/>
    <w:lvl w:ilvl="0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</w:abstractNum>
  <w:abstractNum w:abstractNumId="18" w15:restartNumberingAfterBreak="0">
    <w:nsid w:val="581C7AC7"/>
    <w:multiLevelType w:val="hybridMultilevel"/>
    <w:tmpl w:val="12B03A86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B081286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20" w15:restartNumberingAfterBreak="0">
    <w:nsid w:val="5BDF49EA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21" w15:restartNumberingAfterBreak="0">
    <w:nsid w:val="6FEE45DC"/>
    <w:multiLevelType w:val="hybridMultilevel"/>
    <w:tmpl w:val="ECFE7610"/>
    <w:lvl w:ilvl="0" w:tplc="8D5C8AC8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5001B"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978490137">
    <w:abstractNumId w:val="12"/>
  </w:num>
  <w:num w:numId="2" w16cid:durableId="94521452">
    <w:abstractNumId w:val="4"/>
  </w:num>
  <w:num w:numId="3" w16cid:durableId="446588774">
    <w:abstractNumId w:val="9"/>
  </w:num>
  <w:num w:numId="4" w16cid:durableId="619066956">
    <w:abstractNumId w:val="21"/>
  </w:num>
  <w:num w:numId="5" w16cid:durableId="1392776027">
    <w:abstractNumId w:val="0"/>
  </w:num>
  <w:num w:numId="6" w16cid:durableId="2012484244">
    <w:abstractNumId w:val="8"/>
  </w:num>
  <w:num w:numId="7" w16cid:durableId="1701199724">
    <w:abstractNumId w:val="7"/>
  </w:num>
  <w:num w:numId="8" w16cid:durableId="957486360">
    <w:abstractNumId w:val="5"/>
  </w:num>
  <w:num w:numId="9" w16cid:durableId="660695658">
    <w:abstractNumId w:val="10"/>
  </w:num>
  <w:num w:numId="10" w16cid:durableId="2138840685">
    <w:abstractNumId w:val="19"/>
  </w:num>
  <w:num w:numId="11" w16cid:durableId="49694102">
    <w:abstractNumId w:val="17"/>
  </w:num>
  <w:num w:numId="12" w16cid:durableId="1217089160">
    <w:abstractNumId w:val="11"/>
  </w:num>
  <w:num w:numId="13" w16cid:durableId="9256702">
    <w:abstractNumId w:val="6"/>
  </w:num>
  <w:num w:numId="14" w16cid:durableId="402678837">
    <w:abstractNumId w:val="20"/>
  </w:num>
  <w:num w:numId="15" w16cid:durableId="765810370">
    <w:abstractNumId w:val="2"/>
  </w:num>
  <w:num w:numId="16" w16cid:durableId="1698699566">
    <w:abstractNumId w:val="1"/>
  </w:num>
  <w:num w:numId="17" w16cid:durableId="505291461">
    <w:abstractNumId w:val="13"/>
  </w:num>
  <w:num w:numId="18" w16cid:durableId="1365330929">
    <w:abstractNumId w:val="3"/>
  </w:num>
  <w:num w:numId="19" w16cid:durableId="314844233">
    <w:abstractNumId w:val="15"/>
  </w:num>
  <w:num w:numId="20" w16cid:durableId="1283463046">
    <w:abstractNumId w:val="14"/>
  </w:num>
  <w:num w:numId="21" w16cid:durableId="579024537">
    <w:abstractNumId w:val="18"/>
  </w:num>
  <w:num w:numId="22" w16cid:durableId="829718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6D"/>
    <w:rsid w:val="00035B95"/>
    <w:rsid w:val="00111F91"/>
    <w:rsid w:val="0020006D"/>
    <w:rsid w:val="00201383"/>
    <w:rsid w:val="0022362B"/>
    <w:rsid w:val="002D786D"/>
    <w:rsid w:val="00385B72"/>
    <w:rsid w:val="003A3A5D"/>
    <w:rsid w:val="0051403C"/>
    <w:rsid w:val="005948F1"/>
    <w:rsid w:val="006940D8"/>
    <w:rsid w:val="00742238"/>
    <w:rsid w:val="00882D67"/>
    <w:rsid w:val="00A12454"/>
    <w:rsid w:val="00A908C4"/>
    <w:rsid w:val="00C25160"/>
    <w:rsid w:val="00C80686"/>
    <w:rsid w:val="00E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B2898"/>
  <w15:chartTrackingRefBased/>
  <w15:docId w15:val="{E7B7203A-776D-47B3-9DD2-16EF238B2EC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86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86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86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D786D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2D78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786D"/>
    <w:pPr>
      <w:jc w:val="both"/>
    </w:pPr>
    <w:rPr>
      <w:b/>
      <w:sz w:val="3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D786D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styleId="Hipercze">
    <w:name w:val="Hyperlink"/>
    <w:uiPriority w:val="99"/>
    <w:unhideWhenUsed/>
    <w:rsid w:val="002D78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786D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7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D786D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2D78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786D"/>
    <w:pPr>
      <w:ind w:start="35.40pt"/>
    </w:pPr>
  </w:style>
  <w:style w:type="paragraph" w:styleId="Nagwek">
    <w:name w:val="header"/>
    <w:basedOn w:val="Normalny"/>
    <w:link w:val="NagwekZnak"/>
    <w:uiPriority w:val="99"/>
    <w:unhideWhenUsed/>
    <w:rsid w:val="0074223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2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4d8bb54-50c7-40b9-a118-63f56d951162}" enabled="1" method="Privileged" siteId="{604704f6-d28f-4d05-8fda-5bd318c39bda}" contentBits="1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70</TotalTime>
  <Pages>4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Nieznański</dc:creator>
  <cp:keywords/>
  <dc:description/>
  <cp:lastModifiedBy>Marcin Nieznański</cp:lastModifiedBy>
  <cp:revision>14</cp:revision>
  <dcterms:created xsi:type="dcterms:W3CDTF">2018-03-09T06:35:00Z</dcterms:created>
  <dcterms:modified xsi:type="dcterms:W3CDTF">2025-04-08T06:48:00Z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Korespondencja Wewnętrzna Aquanet SA</vt:lpwstr>
  </property>
  <property fmtid="{D5CDD505-2E9C-101B-9397-08002B2CF9AE}" pid="5" name="MSIP_Label_24d8bb54-50c7-40b9-a118-63f56d951162_Enabled">
    <vt:lpwstr>true</vt:lpwstr>
  </property>
  <property fmtid="{D5CDD505-2E9C-101B-9397-08002B2CF9AE}" pid="6" name="MSIP_Label_24d8bb54-50c7-40b9-a118-63f56d951162_SetDate">
    <vt:lpwstr>2024-03-25T07:24:33Z</vt:lpwstr>
  </property>
  <property fmtid="{D5CDD505-2E9C-101B-9397-08002B2CF9AE}" pid="7" name="MSIP_Label_24d8bb54-50c7-40b9-a118-63f56d951162_Method">
    <vt:lpwstr>Privileged</vt:lpwstr>
  </property>
  <property fmtid="{D5CDD505-2E9C-101B-9397-08002B2CF9AE}" pid="8" name="MSIP_Label_24d8bb54-50c7-40b9-a118-63f56d951162_Name">
    <vt:lpwstr>Wewnętrzne</vt:lpwstr>
  </property>
  <property fmtid="{D5CDD505-2E9C-101B-9397-08002B2CF9AE}" pid="9" name="MSIP_Label_24d8bb54-50c7-40b9-a118-63f56d951162_SiteId">
    <vt:lpwstr>604704f6-d28f-4d05-8fda-5bd318c39bda</vt:lpwstr>
  </property>
  <property fmtid="{D5CDD505-2E9C-101B-9397-08002B2CF9AE}" pid="10" name="MSIP_Label_24d8bb54-50c7-40b9-a118-63f56d951162_ActionId">
    <vt:lpwstr>ea33ee44-068d-4d59-a6bb-9a85f8f1b11b</vt:lpwstr>
  </property>
  <property fmtid="{D5CDD505-2E9C-101B-9397-08002B2CF9AE}" pid="11" name="MSIP_Label_24d8bb54-50c7-40b9-a118-63f56d951162_ContentBits">
    <vt:lpwstr>1</vt:lpwstr>
  </property>
</Properties>
</file>