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Theme="minorHAnsi" w:hAnsi="Arial" w:cs="Arial"/>
          <w:b w:val="0"/>
          <w:bCs w:val="0"/>
          <w:color w:val="auto"/>
          <w:sz w:val="32"/>
          <w:szCs w:val="24"/>
          <w:u w:val="single"/>
          <w:lang w:eastAsia="pl-PL"/>
        </w:rPr>
        <w:id w:val="18643166"/>
        <w:docPartObj>
          <w:docPartGallery w:val="Table of Contents"/>
          <w:docPartUnique/>
        </w:docPartObj>
      </w:sdtPr>
      <w:sdtEndPr>
        <w:rPr>
          <w:rFonts w:eastAsiaTheme="minorEastAsia"/>
          <w:color w:val="FF0000"/>
          <w:sz w:val="24"/>
          <w:u w:val="none"/>
        </w:rPr>
      </w:sdtEndPr>
      <w:sdtContent>
        <w:p w14:paraId="43C22A67" w14:textId="77777777" w:rsidR="007340EE" w:rsidRPr="00704C1A" w:rsidRDefault="007340EE" w:rsidP="00084C89">
          <w:pPr>
            <w:pStyle w:val="Nagwekspisutreci"/>
            <w:spacing w:before="0"/>
            <w:rPr>
              <w:rFonts w:ascii="Arial" w:eastAsiaTheme="minorHAnsi" w:hAnsi="Arial" w:cs="Arial"/>
              <w:bCs w:val="0"/>
              <w:color w:val="auto"/>
              <w:szCs w:val="24"/>
              <w:u w:val="single"/>
              <w:lang w:eastAsia="pl-PL"/>
            </w:rPr>
          </w:pPr>
          <w:r w:rsidRPr="00704C1A">
            <w:rPr>
              <w:rFonts w:ascii="Arial" w:eastAsiaTheme="minorHAnsi" w:hAnsi="Arial" w:cs="Arial"/>
              <w:bCs w:val="0"/>
              <w:color w:val="auto"/>
              <w:szCs w:val="24"/>
              <w:u w:val="single"/>
              <w:lang w:eastAsia="pl-PL"/>
            </w:rPr>
            <w:t>SPIS CZĘŚCI OPISOWEJ</w:t>
          </w:r>
        </w:p>
        <w:p w14:paraId="042ED6AD" w14:textId="59687727" w:rsidR="00B00C51" w:rsidRPr="00B00C51" w:rsidRDefault="007340EE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r w:rsidRPr="00704C1A">
            <w:rPr>
              <w:rFonts w:ascii="Arial" w:hAnsi="Arial" w:cs="Arial"/>
              <w:color w:val="FF0000"/>
              <w:sz w:val="24"/>
              <w:szCs w:val="24"/>
            </w:rPr>
            <w:fldChar w:fldCharType="begin"/>
          </w:r>
          <w:r w:rsidRPr="00704C1A">
            <w:rPr>
              <w:rFonts w:ascii="Arial" w:hAnsi="Arial" w:cs="Arial"/>
              <w:color w:val="FF0000"/>
              <w:sz w:val="24"/>
              <w:szCs w:val="24"/>
            </w:rPr>
            <w:instrText xml:space="preserve"> TOC \o "1-3" \h \z \u </w:instrText>
          </w:r>
          <w:r w:rsidRPr="00704C1A">
            <w:rPr>
              <w:rFonts w:ascii="Arial" w:hAnsi="Arial" w:cs="Arial"/>
              <w:color w:val="FF0000"/>
              <w:sz w:val="24"/>
              <w:szCs w:val="24"/>
            </w:rPr>
            <w:fldChar w:fldCharType="separate"/>
          </w:r>
          <w:hyperlink w:anchor="_Toc101530708" w:history="1">
            <w:r w:rsidR="00B00C51"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1.</w:t>
            </w:r>
            <w:r w:rsidR="00B00C51"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="00B00C51"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Podstawa opracowania</w:t>
            </w:r>
            <w:r w:rsidR="00B00C51"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B00C51"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B00C51"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_Toc101530708 \h </w:instrText>
            </w:r>
            <w:r w:rsidR="00B00C51"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B00C51"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B00C51"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EE4F7E" w14:textId="1977FDF8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09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2.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Zakres opracowania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_Toc101530709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6C4CEE" w14:textId="3AD0436D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0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3.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Dane ogólne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_Toc101530710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D00ADA" w14:textId="37149832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1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4.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Obliczenia zapasu wody w zbiorniku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_Toc101530711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3D28AF" w14:textId="4F5D8522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2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5.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Opis projektowanej instalacji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_Toc101530712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4E9319" w14:textId="320C5600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3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6.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Krótka charakterystyka dobranych urządzeń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_Toc101530713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B6DF189" w14:textId="642233FB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4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7.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Przewody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_Toc101530714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8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D7EB3D" w14:textId="66B050CA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5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8.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Ogólne warunki odbioru i wykonania robót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_Toc101530715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684E2A" w14:textId="5CA48632" w:rsidR="00B00C51" w:rsidRPr="00B00C51" w:rsidRDefault="00B00C51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6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9.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Uwagi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_Toc101530716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8B7448" w14:textId="26AFEE1D" w:rsidR="00B00C51" w:rsidRPr="00B00C51" w:rsidRDefault="00B00C51">
          <w:pPr>
            <w:pStyle w:val="Spistreci1"/>
            <w:tabs>
              <w:tab w:val="left" w:pos="660"/>
              <w:tab w:val="right" w:leader="dot" w:pos="9062"/>
            </w:tabs>
            <w:rPr>
              <w:rFonts w:ascii="Arial" w:hAnsi="Arial" w:cs="Arial"/>
              <w:noProof/>
              <w:sz w:val="24"/>
              <w:szCs w:val="24"/>
            </w:rPr>
          </w:pPr>
          <w:hyperlink w:anchor="_Toc101530717" w:history="1"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10.</w:t>
            </w:r>
            <w:r w:rsidRPr="00B00C51">
              <w:rPr>
                <w:rFonts w:ascii="Arial" w:hAnsi="Arial" w:cs="Arial"/>
                <w:noProof/>
                <w:sz w:val="24"/>
                <w:szCs w:val="24"/>
              </w:rPr>
              <w:tab/>
            </w:r>
            <w:r w:rsidRPr="00B00C51">
              <w:rPr>
                <w:rStyle w:val="Hipercze"/>
                <w:rFonts w:ascii="Arial" w:hAnsi="Arial" w:cs="Arial"/>
                <w:noProof/>
                <w:sz w:val="24"/>
                <w:szCs w:val="24"/>
              </w:rPr>
              <w:t>Zestawienie podstawowych materiałów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_Toc101530717 \h </w:instrTex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640C3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Pr="00B00C51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EEE428" w14:textId="21F8AB86" w:rsidR="007340EE" w:rsidRPr="00704C1A" w:rsidRDefault="007340EE" w:rsidP="00084C89">
          <w:pPr>
            <w:tabs>
              <w:tab w:val="right" w:pos="9070"/>
            </w:tabs>
            <w:spacing w:after="0"/>
            <w:rPr>
              <w:rFonts w:ascii="Arial" w:hAnsi="Arial" w:cs="Arial"/>
              <w:color w:val="FF0000"/>
              <w:sz w:val="24"/>
              <w:szCs w:val="24"/>
            </w:rPr>
          </w:pPr>
          <w:r w:rsidRPr="00704C1A">
            <w:rPr>
              <w:rFonts w:ascii="Arial" w:hAnsi="Arial" w:cs="Arial"/>
              <w:color w:val="FF0000"/>
              <w:sz w:val="24"/>
              <w:szCs w:val="24"/>
            </w:rPr>
            <w:fldChar w:fldCharType="end"/>
          </w:r>
        </w:p>
      </w:sdtContent>
    </w:sdt>
    <w:p w14:paraId="5BB38FAC" w14:textId="77777777" w:rsidR="007340EE" w:rsidRPr="00704C1A" w:rsidRDefault="007340EE" w:rsidP="00084C89">
      <w:pPr>
        <w:rPr>
          <w:rFonts w:ascii="Arial" w:hAnsi="Arial" w:cs="Arial"/>
          <w:b/>
          <w:sz w:val="28"/>
          <w:szCs w:val="24"/>
          <w:u w:val="single"/>
        </w:rPr>
      </w:pPr>
      <w:r w:rsidRPr="00704C1A">
        <w:rPr>
          <w:rFonts w:ascii="Arial" w:hAnsi="Arial" w:cs="Arial"/>
          <w:b/>
          <w:sz w:val="28"/>
          <w:szCs w:val="24"/>
          <w:u w:val="single"/>
        </w:rPr>
        <w:t>SPIS CZĘŚCI RYSUNKOWEJ</w:t>
      </w:r>
    </w:p>
    <w:tbl>
      <w:tblPr>
        <w:tblW w:w="9602" w:type="dxa"/>
        <w:tblCellSpacing w:w="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94"/>
        <w:gridCol w:w="6409"/>
        <w:gridCol w:w="810"/>
        <w:gridCol w:w="1689"/>
      </w:tblGrid>
      <w:tr w:rsidR="00881EFD" w:rsidRPr="00704C1A" w14:paraId="2BDF13A9" w14:textId="77777777" w:rsidTr="00A16ADC">
        <w:trPr>
          <w:trHeight w:val="351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29B9BB8" w14:textId="77777777" w:rsidR="007340EE" w:rsidRPr="00704C1A" w:rsidRDefault="007340EE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704C1A">
              <w:rPr>
                <w:rFonts w:ascii="Arial" w:eastAsia="Times New Roman" w:hAnsi="Arial" w:cs="Arial"/>
                <w:sz w:val="24"/>
                <w:szCs w:val="24"/>
              </w:rPr>
              <w:t>Poz.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6B19A56" w14:textId="77777777" w:rsidR="007340EE" w:rsidRPr="00704C1A" w:rsidRDefault="007340EE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0"/>
              </w:rPr>
            </w:pPr>
            <w:r w:rsidRPr="00704C1A">
              <w:rPr>
                <w:rFonts w:ascii="Arial" w:eastAsia="Times New Roman" w:hAnsi="Arial" w:cs="Arial"/>
                <w:sz w:val="24"/>
                <w:szCs w:val="24"/>
              </w:rPr>
              <w:t>Tytuł rysunku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67AD3CD" w14:textId="77777777" w:rsidR="007340EE" w:rsidRPr="00704C1A" w:rsidRDefault="007340EE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704C1A">
              <w:rPr>
                <w:rFonts w:ascii="Arial" w:eastAsia="Times New Roman" w:hAnsi="Arial" w:cs="Arial"/>
                <w:sz w:val="24"/>
                <w:szCs w:val="24"/>
              </w:rPr>
              <w:t>Skala</w:t>
            </w:r>
          </w:p>
        </w:tc>
        <w:tc>
          <w:tcPr>
            <w:tcW w:w="16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11C0B03" w14:textId="77777777" w:rsidR="007340EE" w:rsidRPr="00704C1A" w:rsidRDefault="007340EE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704C1A">
              <w:rPr>
                <w:rFonts w:ascii="Arial" w:eastAsia="Times New Roman" w:hAnsi="Arial" w:cs="Arial"/>
                <w:sz w:val="24"/>
                <w:szCs w:val="24"/>
              </w:rPr>
              <w:t>Nr rysunku</w:t>
            </w:r>
          </w:p>
        </w:tc>
      </w:tr>
      <w:tr w:rsidR="00881EFD" w:rsidRPr="00704C1A" w14:paraId="56E42888" w14:textId="77777777" w:rsidTr="00A16ADC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801FC42" w14:textId="77777777" w:rsidR="007340EE" w:rsidRPr="00704C1A" w:rsidRDefault="007340EE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C1A">
              <w:rPr>
                <w:rFonts w:ascii="Arial" w:eastAsia="Times New Roman" w:hAnsi="Arial" w:cs="Arial"/>
                <w:sz w:val="24"/>
                <w:szCs w:val="24"/>
              </w:rPr>
              <w:t xml:space="preserve"> 1.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F37485A" w14:textId="56E06C6B" w:rsidR="007340EE" w:rsidRPr="00704C1A" w:rsidRDefault="00881EFD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Rzut pomieszczeń z projektowaną instalacją hydroforową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DF9B1F" w14:textId="7AAC2D8B" w:rsidR="007340EE" w:rsidRPr="00704C1A" w:rsidRDefault="007340EE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704C1A">
              <w:rPr>
                <w:rFonts w:ascii="Arial" w:eastAsia="Times New Roman" w:hAnsi="Arial" w:cs="Arial"/>
                <w:sz w:val="24"/>
                <w:szCs w:val="24"/>
              </w:rPr>
              <w:t>1:50</w:t>
            </w:r>
          </w:p>
        </w:tc>
        <w:tc>
          <w:tcPr>
            <w:tcW w:w="16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B4EBE37" w14:textId="18900D4E" w:rsidR="007340EE" w:rsidRPr="00704C1A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IS0</w:t>
            </w:r>
            <w:r w:rsidR="007340EE" w:rsidRPr="00704C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</w:tr>
      <w:tr w:rsidR="00881EFD" w:rsidRPr="00704C1A" w14:paraId="3A9E1B65" w14:textId="77777777" w:rsidTr="00A16ADC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A950F97" w14:textId="017DE9CE" w:rsidR="00881EFD" w:rsidRPr="00704C1A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3840F7C" w14:textId="12E3EE74" w:rsidR="00881EFD" w:rsidRDefault="00881EFD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Przekrój A-A przez projektowaną instalację hydroforową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C52FD03" w14:textId="50F96A97" w:rsidR="00881EFD" w:rsidRPr="00704C1A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1:50</w:t>
            </w:r>
          </w:p>
        </w:tc>
        <w:tc>
          <w:tcPr>
            <w:tcW w:w="16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6C12466" w14:textId="4661535F" w:rsidR="00881EFD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IS02</w:t>
            </w:r>
          </w:p>
        </w:tc>
      </w:tr>
      <w:tr w:rsidR="00881EFD" w:rsidRPr="00704C1A" w14:paraId="61D341B1" w14:textId="77777777" w:rsidTr="00A16ADC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5B1C40E" w14:textId="1946B40A" w:rsidR="00881EFD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FBB0D98" w14:textId="7F0CE07A" w:rsidR="00881EFD" w:rsidRDefault="00881EFD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Schemat technologiczny</w:t>
            </w:r>
          </w:p>
        </w:tc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6058F7B" w14:textId="398F4A5A" w:rsidR="00881EFD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– : – </w:t>
            </w:r>
          </w:p>
        </w:tc>
        <w:tc>
          <w:tcPr>
            <w:tcW w:w="166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E5E46E9" w14:textId="15C3CEDA" w:rsidR="00881EFD" w:rsidRDefault="00881EF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IS03</w:t>
            </w:r>
          </w:p>
        </w:tc>
      </w:tr>
    </w:tbl>
    <w:p w14:paraId="4C549EEB" w14:textId="4412B328" w:rsidR="003E4BF1" w:rsidRDefault="003E4BF1" w:rsidP="00084C89">
      <w:pPr>
        <w:spacing w:before="240"/>
        <w:rPr>
          <w:rFonts w:ascii="Arial" w:hAnsi="Arial" w:cs="Arial"/>
          <w:b/>
          <w:sz w:val="28"/>
          <w:szCs w:val="24"/>
          <w:u w:val="single"/>
        </w:rPr>
      </w:pPr>
      <w:r w:rsidRPr="003E4BF1">
        <w:rPr>
          <w:rFonts w:ascii="Arial" w:hAnsi="Arial" w:cs="Arial"/>
          <w:b/>
          <w:sz w:val="28"/>
          <w:szCs w:val="24"/>
          <w:u w:val="single"/>
        </w:rPr>
        <w:t>SPIS ZAŁĄCZNIKÓW</w:t>
      </w:r>
    </w:p>
    <w:tbl>
      <w:tblPr>
        <w:tblW w:w="9631" w:type="dxa"/>
        <w:tblCellSpacing w:w="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94"/>
        <w:gridCol w:w="8937"/>
      </w:tblGrid>
      <w:tr w:rsidR="003E4BF1" w:rsidRPr="0045266D" w14:paraId="717CADF2" w14:textId="77777777" w:rsidTr="003E4BF1">
        <w:trPr>
          <w:trHeight w:val="351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5DF52DD" w14:textId="77777777" w:rsidR="003E4BF1" w:rsidRPr="0045266D" w:rsidRDefault="003E4BF1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Poz.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37ACAE5" w14:textId="3A503E26" w:rsidR="003E4BF1" w:rsidRPr="0045266D" w:rsidRDefault="003E4BF1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Tytuł</w:t>
            </w:r>
          </w:p>
        </w:tc>
      </w:tr>
      <w:tr w:rsidR="003E4BF1" w:rsidRPr="0045266D" w14:paraId="519EE0F8" w14:textId="77777777" w:rsidTr="003E4BF1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72A18FF" w14:textId="77777777" w:rsidR="003E4BF1" w:rsidRPr="0045266D" w:rsidRDefault="003E4BF1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 1.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50DC0B0" w14:textId="3B2F156B" w:rsidR="003E4BF1" w:rsidRPr="0045266D" w:rsidRDefault="003E4BF1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Karta doboru zestawu hydroforowego </w:t>
            </w:r>
            <w:r w:rsidR="00A61129"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COR-4 </w:t>
            </w:r>
            <w:proofErr w:type="spellStart"/>
            <w:r w:rsidR="00A61129" w:rsidRPr="0045266D">
              <w:rPr>
                <w:rFonts w:ascii="Arial" w:eastAsia="Times New Roman" w:hAnsi="Arial" w:cs="Arial"/>
                <w:sz w:val="24"/>
                <w:szCs w:val="24"/>
              </w:rPr>
              <w:t>Helix</w:t>
            </w:r>
            <w:proofErr w:type="spellEnd"/>
            <w:r w:rsidR="00A61129"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 VF 1608/SC-FFS</w:t>
            </w:r>
          </w:p>
        </w:tc>
      </w:tr>
      <w:tr w:rsidR="003E4BF1" w:rsidRPr="0045266D" w14:paraId="17F570D4" w14:textId="77777777" w:rsidTr="003E4BF1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72971CB" w14:textId="77777777" w:rsidR="003E4BF1" w:rsidRPr="0045266D" w:rsidRDefault="003E4BF1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2.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BFF6192" w14:textId="322D3607" w:rsidR="003E4BF1" w:rsidRPr="0045266D" w:rsidRDefault="003E4BF1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Karta katalogowa pompy zatapialnej </w:t>
            </w:r>
            <w:proofErr w:type="spellStart"/>
            <w:r w:rsidRPr="0045266D">
              <w:rPr>
                <w:rFonts w:ascii="Arial" w:eastAsia="Times New Roman" w:hAnsi="Arial" w:cs="Arial"/>
                <w:sz w:val="24"/>
                <w:szCs w:val="24"/>
              </w:rPr>
              <w:t>Wilo-Drain</w:t>
            </w:r>
            <w:proofErr w:type="spellEnd"/>
            <w:r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 TP 80 / TP 100</w:t>
            </w:r>
          </w:p>
        </w:tc>
      </w:tr>
      <w:tr w:rsidR="003E4BF1" w:rsidRPr="0045266D" w14:paraId="262F4CA3" w14:textId="77777777" w:rsidTr="003E4BF1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DF62ABD" w14:textId="77777777" w:rsidR="003E4BF1" w:rsidRPr="0045266D" w:rsidRDefault="003E4BF1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3.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7D27791" w14:textId="7AA3CA0C" w:rsidR="003E4BF1" w:rsidRPr="0045266D" w:rsidRDefault="00A61129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Oferta techniczno-handlowa doboru filtru wstępnego wraz ze zmiękczaczem jonowymiennym</w:t>
            </w:r>
          </w:p>
        </w:tc>
      </w:tr>
      <w:tr w:rsidR="00A61129" w:rsidRPr="0045266D" w14:paraId="31B368CD" w14:textId="77777777" w:rsidTr="003E4BF1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8D1474F" w14:textId="00D37C8B" w:rsidR="00A61129" w:rsidRPr="0045266D" w:rsidRDefault="00A61129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4.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FA96C7A" w14:textId="1564AF89" w:rsidR="00A61129" w:rsidRPr="0045266D" w:rsidRDefault="00A61129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Karta katalogowa zaworu regulacyjnego z pływakowym zaworem sterującym SOCLA C701</w:t>
            </w:r>
          </w:p>
        </w:tc>
      </w:tr>
      <w:tr w:rsidR="0045266D" w:rsidRPr="0045266D" w14:paraId="75591863" w14:textId="77777777" w:rsidTr="003E4BF1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D2AF64F" w14:textId="68691050" w:rsidR="0045266D" w:rsidRPr="0045266D" w:rsidRDefault="0045266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5.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4380D0B" w14:textId="3DBFB07B" w:rsidR="0045266D" w:rsidRPr="0045266D" w:rsidRDefault="0045266D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Karta doboru zestawu hydroforowego </w:t>
            </w:r>
            <w:proofErr w:type="spellStart"/>
            <w:r w:rsidRPr="0045266D">
              <w:rPr>
                <w:rFonts w:ascii="Arial" w:hAnsi="Arial" w:cs="Arial"/>
                <w:sz w:val="24"/>
                <w:szCs w:val="24"/>
              </w:rPr>
              <w:t>SiBoost</w:t>
            </w:r>
            <w:proofErr w:type="spellEnd"/>
            <w:r w:rsidRPr="0045266D">
              <w:rPr>
                <w:rFonts w:ascii="Arial" w:hAnsi="Arial" w:cs="Arial"/>
                <w:sz w:val="24"/>
                <w:szCs w:val="24"/>
              </w:rPr>
              <w:t xml:space="preserve"> Smart 3 </w:t>
            </w:r>
            <w:proofErr w:type="spellStart"/>
            <w:r w:rsidRPr="0045266D">
              <w:rPr>
                <w:rFonts w:ascii="Arial" w:hAnsi="Arial" w:cs="Arial"/>
                <w:sz w:val="24"/>
                <w:szCs w:val="24"/>
              </w:rPr>
              <w:t>Helix</w:t>
            </w:r>
            <w:proofErr w:type="spellEnd"/>
            <w:r w:rsidRPr="0045266D">
              <w:rPr>
                <w:rFonts w:ascii="Arial" w:hAnsi="Arial" w:cs="Arial"/>
                <w:sz w:val="24"/>
                <w:szCs w:val="24"/>
              </w:rPr>
              <w:t xml:space="preserve"> VE 1006</w:t>
            </w:r>
          </w:p>
        </w:tc>
      </w:tr>
      <w:tr w:rsidR="0045266D" w:rsidRPr="0045266D" w14:paraId="27DC6318" w14:textId="77777777" w:rsidTr="003E4BF1">
        <w:trPr>
          <w:trHeight w:val="230"/>
          <w:tblCellSpacing w:w="7" w:type="dxa"/>
        </w:trPr>
        <w:tc>
          <w:tcPr>
            <w:tcW w:w="0" w:type="auto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3C43463" w14:textId="3A7F7A4B" w:rsidR="0045266D" w:rsidRPr="0045266D" w:rsidRDefault="0045266D" w:rsidP="00084C89">
            <w:pPr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>6.</w:t>
            </w:r>
          </w:p>
        </w:tc>
        <w:tc>
          <w:tcPr>
            <w:tcW w:w="89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91A7A8E" w14:textId="6719F992" w:rsidR="0045266D" w:rsidRPr="0045266D" w:rsidRDefault="0045266D" w:rsidP="00084C89">
            <w:pPr>
              <w:spacing w:after="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45266D">
              <w:rPr>
                <w:rFonts w:ascii="Arial" w:eastAsia="Times New Roman" w:hAnsi="Arial" w:cs="Arial"/>
                <w:sz w:val="24"/>
                <w:szCs w:val="24"/>
              </w:rPr>
              <w:t xml:space="preserve">Karta katalogowa pompy zatapialnej </w:t>
            </w:r>
            <w:proofErr w:type="spellStart"/>
            <w:r w:rsidRPr="0045266D">
              <w:rPr>
                <w:rFonts w:ascii="Arial" w:hAnsi="Arial" w:cs="Arial"/>
                <w:sz w:val="24"/>
                <w:szCs w:val="24"/>
              </w:rPr>
              <w:t>Wilo-Drain</w:t>
            </w:r>
            <w:proofErr w:type="spellEnd"/>
            <w:r w:rsidRPr="0045266D">
              <w:rPr>
                <w:rFonts w:ascii="Arial" w:hAnsi="Arial" w:cs="Arial"/>
                <w:sz w:val="24"/>
                <w:szCs w:val="24"/>
              </w:rPr>
              <w:t xml:space="preserve"> TS-50 H122/15</w:t>
            </w:r>
          </w:p>
        </w:tc>
      </w:tr>
    </w:tbl>
    <w:p w14:paraId="1C6FDF39" w14:textId="77777777" w:rsidR="003E4BF1" w:rsidRPr="003E4BF1" w:rsidRDefault="003E4BF1" w:rsidP="00084C89">
      <w:pPr>
        <w:spacing w:before="240"/>
        <w:rPr>
          <w:rFonts w:ascii="Arial" w:hAnsi="Arial" w:cs="Arial"/>
          <w:b/>
          <w:sz w:val="28"/>
          <w:szCs w:val="24"/>
          <w:u w:val="single"/>
        </w:rPr>
      </w:pPr>
    </w:p>
    <w:p w14:paraId="2A00FBC6" w14:textId="4B851A74" w:rsidR="00704C1A" w:rsidRDefault="007340EE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r w:rsidRPr="00704C1A">
        <w:rPr>
          <w:rFonts w:ascii="Arial" w:hAnsi="Arial" w:cs="Arial"/>
          <w:color w:val="auto"/>
        </w:rPr>
        <w:br w:type="column"/>
      </w:r>
      <w:bookmarkStart w:id="0" w:name="_Toc336931286"/>
      <w:bookmarkStart w:id="1" w:name="_Toc101530708"/>
      <w:r w:rsidR="00704C1A">
        <w:rPr>
          <w:rFonts w:ascii="Arial" w:hAnsi="Arial" w:cs="Arial"/>
          <w:color w:val="auto"/>
        </w:rPr>
        <w:lastRenderedPageBreak/>
        <w:t>Podstawa opracowania</w:t>
      </w:r>
      <w:bookmarkEnd w:id="1"/>
    </w:p>
    <w:p w14:paraId="0055375F" w14:textId="77777777" w:rsidR="00881EFD" w:rsidRPr="00781F8B" w:rsidRDefault="00881EFD" w:rsidP="00084C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781F8B">
        <w:rPr>
          <w:rFonts w:ascii="Arial" w:hAnsi="Arial" w:cs="Arial"/>
          <w:sz w:val="24"/>
          <w:szCs w:val="24"/>
        </w:rPr>
        <w:t>Niniejszy projekt opracowano na podstawie:</w:t>
      </w:r>
    </w:p>
    <w:p w14:paraId="6039EEA8" w14:textId="77777777" w:rsidR="00881EFD" w:rsidRPr="00881EFD" w:rsidRDefault="00881EFD" w:rsidP="00084C89">
      <w:pPr>
        <w:pStyle w:val="Akapitzlist"/>
        <w:numPr>
          <w:ilvl w:val="0"/>
          <w:numId w:val="7"/>
        </w:numPr>
        <w:spacing w:line="276" w:lineRule="auto"/>
        <w:jc w:val="both"/>
        <w:rPr>
          <w:rFonts w:cs="Arial"/>
        </w:rPr>
      </w:pPr>
      <w:r w:rsidRPr="00881EFD">
        <w:rPr>
          <w:rFonts w:cs="Arial"/>
        </w:rPr>
        <w:t>Umowy z inwestorem,</w:t>
      </w:r>
    </w:p>
    <w:p w14:paraId="29859740" w14:textId="77777777" w:rsidR="00881EFD" w:rsidRPr="00881EFD" w:rsidRDefault="00881EFD" w:rsidP="00084C89">
      <w:pPr>
        <w:pStyle w:val="Akapitzlist"/>
        <w:numPr>
          <w:ilvl w:val="0"/>
          <w:numId w:val="7"/>
        </w:numPr>
        <w:spacing w:line="276" w:lineRule="auto"/>
        <w:jc w:val="both"/>
        <w:rPr>
          <w:rFonts w:cs="Arial"/>
        </w:rPr>
      </w:pPr>
      <w:r w:rsidRPr="00881EFD">
        <w:rPr>
          <w:rFonts w:cs="Arial"/>
        </w:rPr>
        <w:t>Koncepcji zagospodarowania terenu,</w:t>
      </w:r>
    </w:p>
    <w:p w14:paraId="0508298D" w14:textId="77777777" w:rsidR="00881EFD" w:rsidRPr="00881EFD" w:rsidRDefault="00881EFD" w:rsidP="00084C89">
      <w:pPr>
        <w:pStyle w:val="Akapitzlist"/>
        <w:numPr>
          <w:ilvl w:val="0"/>
          <w:numId w:val="7"/>
        </w:numPr>
        <w:spacing w:line="276" w:lineRule="auto"/>
        <w:jc w:val="both"/>
        <w:rPr>
          <w:rFonts w:cs="Arial"/>
        </w:rPr>
      </w:pPr>
      <w:r w:rsidRPr="00881EFD">
        <w:rPr>
          <w:rFonts w:cs="Arial"/>
        </w:rPr>
        <w:t>Polskich norm i przepisów,</w:t>
      </w:r>
    </w:p>
    <w:p w14:paraId="74E07A47" w14:textId="276DBF2D" w:rsidR="007340EE" w:rsidRPr="00704C1A" w:rsidRDefault="00B657AB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2" w:name="_Toc101530709"/>
      <w:r>
        <w:rPr>
          <w:rFonts w:ascii="Arial" w:hAnsi="Arial" w:cs="Arial"/>
          <w:color w:val="auto"/>
        </w:rPr>
        <w:t>Zakres opracowania</w:t>
      </w:r>
      <w:bookmarkEnd w:id="0"/>
      <w:bookmarkEnd w:id="2"/>
    </w:p>
    <w:p w14:paraId="7772BECB" w14:textId="789AFC9A" w:rsidR="007340EE" w:rsidRPr="00B657AB" w:rsidRDefault="007340EE" w:rsidP="00084C89">
      <w:pPr>
        <w:jc w:val="both"/>
        <w:rPr>
          <w:rFonts w:ascii="Arial" w:hAnsi="Arial" w:cs="Arial"/>
          <w:sz w:val="24"/>
          <w:szCs w:val="24"/>
        </w:rPr>
      </w:pPr>
      <w:r w:rsidRPr="00B657AB">
        <w:rPr>
          <w:rFonts w:ascii="Arial" w:hAnsi="Arial" w:cs="Arial"/>
          <w:sz w:val="24"/>
          <w:szCs w:val="24"/>
        </w:rPr>
        <w:t xml:space="preserve">Przedmiotem opracowania jest projekt wykonawczy </w:t>
      </w:r>
      <w:r w:rsidRPr="00B657AB">
        <w:rPr>
          <w:rFonts w:ascii="Arial" w:hAnsi="Arial" w:cs="Arial"/>
          <w:sz w:val="24"/>
          <w:szCs w:val="24"/>
          <w:lang w:eastAsia="en-US"/>
        </w:rPr>
        <w:t xml:space="preserve">przebudowy zasilania w wodę </w:t>
      </w:r>
      <w:r w:rsidRPr="00B657AB">
        <w:rPr>
          <w:rFonts w:ascii="Arial" w:hAnsi="Arial" w:cs="Arial"/>
          <w:sz w:val="24"/>
          <w:szCs w:val="24"/>
          <w:lang w:eastAsia="en-US"/>
        </w:rPr>
        <w:t>z</w:t>
      </w:r>
      <w:r w:rsidR="00704C1A" w:rsidRPr="00B657AB">
        <w:rPr>
          <w:rFonts w:ascii="Arial" w:hAnsi="Arial" w:cs="Arial"/>
          <w:sz w:val="24"/>
          <w:szCs w:val="24"/>
          <w:lang w:eastAsia="en-US"/>
        </w:rPr>
        <w:t> </w:t>
      </w:r>
      <w:r w:rsidRPr="00B657AB">
        <w:rPr>
          <w:rFonts w:ascii="Arial" w:hAnsi="Arial" w:cs="Arial"/>
          <w:sz w:val="24"/>
          <w:szCs w:val="24"/>
          <w:lang w:eastAsia="en-US"/>
        </w:rPr>
        <w:t xml:space="preserve">wykonaniem </w:t>
      </w:r>
      <w:r w:rsidRPr="00B657AB">
        <w:rPr>
          <w:rFonts w:ascii="Arial" w:hAnsi="Arial" w:cs="Arial"/>
          <w:sz w:val="24"/>
          <w:szCs w:val="24"/>
          <w:lang w:eastAsia="en-US"/>
        </w:rPr>
        <w:t xml:space="preserve">zbiornika </w:t>
      </w:r>
      <w:r w:rsidRPr="00B657AB">
        <w:rPr>
          <w:rFonts w:ascii="Arial" w:hAnsi="Arial" w:cs="Arial"/>
          <w:sz w:val="24"/>
          <w:szCs w:val="24"/>
          <w:lang w:eastAsia="en-US"/>
        </w:rPr>
        <w:t xml:space="preserve">magazynującego wodę w </w:t>
      </w:r>
      <w:r w:rsidRPr="00B657AB">
        <w:rPr>
          <w:rFonts w:ascii="Arial" w:hAnsi="Arial" w:cs="Arial"/>
          <w:sz w:val="24"/>
          <w:szCs w:val="24"/>
        </w:rPr>
        <w:t>Powiatowy</w:t>
      </w:r>
      <w:r w:rsidRPr="00B657AB">
        <w:rPr>
          <w:rFonts w:ascii="Arial" w:hAnsi="Arial" w:cs="Arial"/>
          <w:sz w:val="24"/>
          <w:szCs w:val="24"/>
        </w:rPr>
        <w:t>m</w:t>
      </w:r>
      <w:r w:rsidRPr="00B657AB">
        <w:rPr>
          <w:rFonts w:ascii="Arial" w:hAnsi="Arial" w:cs="Arial"/>
          <w:sz w:val="24"/>
          <w:szCs w:val="24"/>
        </w:rPr>
        <w:t xml:space="preserve"> Zesp</w:t>
      </w:r>
      <w:r w:rsidRPr="00B657AB">
        <w:rPr>
          <w:rFonts w:ascii="Arial" w:hAnsi="Arial" w:cs="Arial"/>
          <w:sz w:val="24"/>
          <w:szCs w:val="24"/>
        </w:rPr>
        <w:t>ole</w:t>
      </w:r>
      <w:r w:rsidRPr="00B657AB">
        <w:rPr>
          <w:rFonts w:ascii="Arial" w:hAnsi="Arial" w:cs="Arial"/>
          <w:sz w:val="24"/>
          <w:szCs w:val="24"/>
        </w:rPr>
        <w:t xml:space="preserve"> Zakładów Opieki Zdrowotnej</w:t>
      </w:r>
      <w:r w:rsidRPr="00B657AB">
        <w:rPr>
          <w:rFonts w:ascii="Arial" w:hAnsi="Arial" w:cs="Arial"/>
          <w:sz w:val="24"/>
          <w:szCs w:val="24"/>
        </w:rPr>
        <w:t xml:space="preserve"> przy</w:t>
      </w:r>
      <w:r w:rsidRPr="00B657AB">
        <w:rPr>
          <w:rFonts w:ascii="Arial" w:hAnsi="Arial" w:cs="Arial"/>
          <w:sz w:val="24"/>
          <w:szCs w:val="24"/>
        </w:rPr>
        <w:t xml:space="preserve"> ul. Szpitaln</w:t>
      </w:r>
      <w:r w:rsidRPr="00B657AB">
        <w:rPr>
          <w:rFonts w:ascii="Arial" w:hAnsi="Arial" w:cs="Arial"/>
          <w:sz w:val="24"/>
          <w:szCs w:val="24"/>
        </w:rPr>
        <w:t>ej</w:t>
      </w:r>
      <w:r w:rsidRPr="00B657AB">
        <w:rPr>
          <w:rFonts w:ascii="Arial" w:hAnsi="Arial" w:cs="Arial"/>
          <w:sz w:val="24"/>
          <w:szCs w:val="24"/>
        </w:rPr>
        <w:t xml:space="preserve"> 40</w:t>
      </w:r>
      <w:r w:rsidRPr="00B657AB">
        <w:rPr>
          <w:rFonts w:ascii="Arial" w:hAnsi="Arial" w:cs="Arial"/>
          <w:sz w:val="24"/>
          <w:szCs w:val="24"/>
        </w:rPr>
        <w:t xml:space="preserve"> w Czeladzi</w:t>
      </w:r>
      <w:r w:rsidRPr="00B657AB">
        <w:rPr>
          <w:rFonts w:ascii="Arial" w:hAnsi="Arial" w:cs="Arial"/>
          <w:sz w:val="24"/>
          <w:szCs w:val="24"/>
        </w:rPr>
        <w:t xml:space="preserve">. </w:t>
      </w:r>
    </w:p>
    <w:p w14:paraId="2DA6640F" w14:textId="41C0BB22" w:rsidR="007340EE" w:rsidRPr="00704C1A" w:rsidRDefault="00B657AB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3" w:name="_Toc101530710"/>
      <w:r>
        <w:rPr>
          <w:rFonts w:ascii="Arial" w:hAnsi="Arial" w:cs="Arial"/>
          <w:color w:val="auto"/>
        </w:rPr>
        <w:t>Dane ogólne</w:t>
      </w:r>
      <w:bookmarkEnd w:id="3"/>
    </w:p>
    <w:p w14:paraId="5604F9DB" w14:textId="501D58F1" w:rsidR="007340EE" w:rsidRDefault="00B657AB" w:rsidP="00084C89">
      <w:pPr>
        <w:suppressAutoHyphens/>
        <w:jc w:val="both"/>
        <w:rPr>
          <w:rFonts w:ascii="Arial" w:hAnsi="Arial" w:cs="Arial"/>
          <w:sz w:val="24"/>
          <w:szCs w:val="24"/>
        </w:rPr>
      </w:pPr>
      <w:r w:rsidRPr="00B657AB">
        <w:rPr>
          <w:rFonts w:ascii="Arial" w:hAnsi="Arial" w:cs="Arial"/>
          <w:sz w:val="24"/>
          <w:szCs w:val="24"/>
        </w:rPr>
        <w:t>Projekt obejmuje modernizację istniejącej instalacji z rozdziałem na instalację na cele bytowe oraz na cele p.poż (zasilanie hydrantów wewnętrznych i zewnętrznych). W</w:t>
      </w:r>
      <w:r>
        <w:rPr>
          <w:rFonts w:ascii="Arial" w:hAnsi="Arial" w:cs="Arial"/>
          <w:sz w:val="24"/>
          <w:szCs w:val="24"/>
        </w:rPr>
        <w:t> </w:t>
      </w:r>
      <w:r w:rsidRPr="00B657AB">
        <w:rPr>
          <w:rFonts w:ascii="Arial" w:hAnsi="Arial" w:cs="Arial"/>
          <w:sz w:val="24"/>
          <w:szCs w:val="24"/>
        </w:rPr>
        <w:t>ramach projektu przewiduje się zabudowę zbiornika magazynującego wodę na cele bytowe zapewniającego zapas wody na 12 godzin pracy szpitala. Przed zbiornikiem projektuje się filtr wstępny wraz z zestawem zmiękczania w celu usunięcia twardości wody.</w:t>
      </w:r>
    </w:p>
    <w:p w14:paraId="10E9F41D" w14:textId="59648090" w:rsidR="00084A8A" w:rsidRDefault="00084A8A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4" w:name="_Toc101530711"/>
      <w:r w:rsidRPr="00084A8A">
        <w:rPr>
          <w:rFonts w:ascii="Arial" w:hAnsi="Arial" w:cs="Arial"/>
          <w:color w:val="auto"/>
        </w:rPr>
        <w:t>Obliczenia zapasu wody w zbiorniku</w:t>
      </w:r>
      <w:bookmarkEnd w:id="4"/>
    </w:p>
    <w:p w14:paraId="52D860EE" w14:textId="77777777" w:rsidR="00D24814" w:rsidRPr="00D24814" w:rsidRDefault="00D24814" w:rsidP="00084C89">
      <w:pPr>
        <w:suppressAutoHyphens/>
        <w:spacing w:before="240"/>
        <w:jc w:val="both"/>
        <w:rPr>
          <w:rFonts w:ascii="Arial" w:hAnsi="Arial" w:cs="Arial"/>
          <w:sz w:val="24"/>
          <w:szCs w:val="24"/>
          <w:u w:val="single"/>
        </w:rPr>
      </w:pPr>
      <w:r w:rsidRPr="00D24814">
        <w:rPr>
          <w:rFonts w:ascii="Arial" w:hAnsi="Arial" w:cs="Arial"/>
          <w:sz w:val="24"/>
          <w:szCs w:val="24"/>
          <w:u w:val="single"/>
        </w:rPr>
        <w:t>Dla istniejącego budynku Szpitala w Czeladzi:</w:t>
      </w:r>
    </w:p>
    <w:p w14:paraId="1018D861" w14:textId="0A227A5F" w:rsidR="00D24814" w:rsidRDefault="00D24814" w:rsidP="00084C89">
      <w:pPr>
        <w:pStyle w:val="Akapitzlist"/>
        <w:numPr>
          <w:ilvl w:val="0"/>
          <w:numId w:val="9"/>
        </w:numPr>
        <w:suppressAutoHyphens/>
        <w:spacing w:before="240" w:after="240" w:line="276" w:lineRule="auto"/>
        <w:jc w:val="both"/>
        <w:rPr>
          <w:rFonts w:cs="Arial"/>
        </w:rPr>
      </w:pPr>
      <w:r w:rsidRPr="00D24814">
        <w:rPr>
          <w:rFonts w:cs="Arial"/>
        </w:rPr>
        <w:t>największy roczny pobór wody był w 2020r. – 18</w:t>
      </w:r>
      <w:r>
        <w:rPr>
          <w:rFonts w:cs="Arial"/>
        </w:rPr>
        <w:t> </w:t>
      </w:r>
      <w:r w:rsidRPr="00D24814">
        <w:rPr>
          <w:rFonts w:cs="Arial"/>
        </w:rPr>
        <w:t>929</w:t>
      </w:r>
      <w:r>
        <w:rPr>
          <w:rFonts w:cs="Arial"/>
        </w:rPr>
        <w:t> </w:t>
      </w:r>
      <w:r w:rsidRPr="00D24814">
        <w:rPr>
          <w:rFonts w:cs="Arial"/>
        </w:rPr>
        <w:t>m</w:t>
      </w:r>
      <w:r w:rsidRPr="00D24814">
        <w:rPr>
          <w:rFonts w:cs="Arial"/>
          <w:vertAlign w:val="superscript"/>
        </w:rPr>
        <w:t>3</w:t>
      </w:r>
    </w:p>
    <w:p w14:paraId="118847F2" w14:textId="77777777" w:rsidR="00D24814" w:rsidRPr="00D24814" w:rsidRDefault="00D24814" w:rsidP="00084C89">
      <w:pPr>
        <w:pStyle w:val="Akapitzlist"/>
        <w:suppressAutoHyphens/>
        <w:spacing w:before="240" w:after="240" w:line="276" w:lineRule="auto"/>
        <w:jc w:val="both"/>
        <w:rPr>
          <w:rFonts w:cs="Arial"/>
        </w:rPr>
      </w:pPr>
    </w:p>
    <w:p w14:paraId="721EB0C0" w14:textId="54C1D974" w:rsidR="00D24814" w:rsidRDefault="00D24814" w:rsidP="00084C89">
      <w:pPr>
        <w:pStyle w:val="Akapitzlist"/>
        <w:numPr>
          <w:ilvl w:val="0"/>
          <w:numId w:val="9"/>
        </w:numPr>
        <w:suppressAutoHyphens/>
        <w:spacing w:before="240" w:after="240" w:line="276" w:lineRule="auto"/>
        <w:jc w:val="both"/>
        <w:rPr>
          <w:rFonts w:cs="Arial"/>
        </w:rPr>
      </w:pPr>
      <w:r w:rsidRPr="00D24814">
        <w:rPr>
          <w:rFonts w:cs="Arial"/>
        </w:rPr>
        <w:t>miesięcznie: 18</w:t>
      </w:r>
      <w:r w:rsidR="002D379F">
        <w:rPr>
          <w:rFonts w:cs="Arial"/>
        </w:rPr>
        <w:t> </w:t>
      </w:r>
      <w:r w:rsidRPr="00D24814">
        <w:rPr>
          <w:rFonts w:cs="Arial"/>
        </w:rPr>
        <w:t>929</w:t>
      </w:r>
      <w:r w:rsidR="002D379F">
        <w:rPr>
          <w:rFonts w:cs="Arial"/>
        </w:rPr>
        <w:t xml:space="preserve"> </w:t>
      </w:r>
      <w:r w:rsidR="002D379F" w:rsidRPr="00D24814">
        <w:rPr>
          <w:rFonts w:cs="Arial"/>
        </w:rPr>
        <w:t>m</w:t>
      </w:r>
      <w:r w:rsidR="002D379F" w:rsidRPr="00D24814">
        <w:rPr>
          <w:rFonts w:cs="Arial"/>
          <w:vertAlign w:val="superscript"/>
        </w:rPr>
        <w:t>3</w:t>
      </w:r>
      <w:r>
        <w:rPr>
          <w:rFonts w:cs="Arial"/>
        </w:rPr>
        <w:t> </w:t>
      </w:r>
      <w:r w:rsidRPr="00D24814">
        <w:rPr>
          <w:rFonts w:cs="Arial"/>
        </w:rPr>
        <w:t>/</w:t>
      </w:r>
      <w:r>
        <w:rPr>
          <w:rFonts w:cs="Arial"/>
        </w:rPr>
        <w:t> </w:t>
      </w:r>
      <w:r w:rsidRPr="00D24814">
        <w:rPr>
          <w:rFonts w:cs="Arial"/>
        </w:rPr>
        <w:t>12 = 1</w:t>
      </w:r>
      <w:r>
        <w:rPr>
          <w:rFonts w:cs="Arial"/>
        </w:rPr>
        <w:t> </w:t>
      </w:r>
      <w:r w:rsidRPr="00D24814">
        <w:rPr>
          <w:rFonts w:cs="Arial"/>
        </w:rPr>
        <w:t>577</w:t>
      </w:r>
      <w:r>
        <w:rPr>
          <w:rFonts w:cs="Arial"/>
        </w:rPr>
        <w:t> </w:t>
      </w:r>
      <w:r w:rsidRPr="00D24814">
        <w:rPr>
          <w:rFonts w:cs="Arial"/>
        </w:rPr>
        <w:t>m</w:t>
      </w:r>
      <w:r w:rsidRPr="00D24814">
        <w:rPr>
          <w:rFonts w:cs="Arial"/>
          <w:vertAlign w:val="superscript"/>
        </w:rPr>
        <w:t>3</w:t>
      </w:r>
    </w:p>
    <w:p w14:paraId="1BAC5479" w14:textId="77777777" w:rsidR="00D24814" w:rsidRPr="00D24814" w:rsidRDefault="00D24814" w:rsidP="00084C89">
      <w:pPr>
        <w:pStyle w:val="Akapitzlist"/>
        <w:suppressAutoHyphens/>
        <w:spacing w:before="240" w:after="240" w:line="276" w:lineRule="auto"/>
        <w:jc w:val="both"/>
        <w:rPr>
          <w:rFonts w:cs="Arial"/>
        </w:rPr>
      </w:pPr>
    </w:p>
    <w:p w14:paraId="09907259" w14:textId="5BFFC5B3" w:rsidR="00D24814" w:rsidRDefault="00D24814" w:rsidP="00084C89">
      <w:pPr>
        <w:pStyle w:val="Akapitzlist"/>
        <w:numPr>
          <w:ilvl w:val="0"/>
          <w:numId w:val="9"/>
        </w:numPr>
        <w:suppressAutoHyphens/>
        <w:spacing w:before="240" w:line="276" w:lineRule="auto"/>
        <w:jc w:val="both"/>
        <w:rPr>
          <w:rFonts w:cs="Arial"/>
        </w:rPr>
      </w:pPr>
      <w:r w:rsidRPr="00D24814">
        <w:rPr>
          <w:rFonts w:cs="Arial"/>
        </w:rPr>
        <w:t>dobowo (biorąc pod uwagę tylko dni robocze): 1</w:t>
      </w:r>
      <w:r w:rsidR="002D379F">
        <w:rPr>
          <w:rFonts w:cs="Arial"/>
        </w:rPr>
        <w:t> </w:t>
      </w:r>
      <w:r w:rsidRPr="00D24814">
        <w:rPr>
          <w:rFonts w:cs="Arial"/>
        </w:rPr>
        <w:t>577</w:t>
      </w:r>
      <w:r w:rsidR="002D379F">
        <w:rPr>
          <w:rFonts w:cs="Arial"/>
        </w:rPr>
        <w:t xml:space="preserve"> </w:t>
      </w:r>
      <w:r w:rsidR="002D379F" w:rsidRPr="00D24814">
        <w:rPr>
          <w:rFonts w:cs="Arial"/>
        </w:rPr>
        <w:t>m</w:t>
      </w:r>
      <w:r w:rsidR="002D379F" w:rsidRPr="00D24814">
        <w:rPr>
          <w:rFonts w:cs="Arial"/>
          <w:vertAlign w:val="superscript"/>
        </w:rPr>
        <w:t>3</w:t>
      </w:r>
      <w:r w:rsidR="002D379F">
        <w:rPr>
          <w:rFonts w:cs="Arial"/>
        </w:rPr>
        <w:t> </w:t>
      </w:r>
      <w:r w:rsidRPr="00D24814">
        <w:rPr>
          <w:rFonts w:cs="Arial"/>
        </w:rPr>
        <w:t>/</w:t>
      </w:r>
      <w:r w:rsidR="002D379F">
        <w:rPr>
          <w:rFonts w:cs="Arial"/>
        </w:rPr>
        <w:t> </w:t>
      </w:r>
      <w:r w:rsidRPr="00D24814">
        <w:rPr>
          <w:rFonts w:cs="Arial"/>
        </w:rPr>
        <w:t>21 = 75</w:t>
      </w:r>
      <w:r w:rsidR="002D379F">
        <w:rPr>
          <w:rFonts w:cs="Arial"/>
        </w:rPr>
        <w:t> </w:t>
      </w:r>
      <w:r w:rsidRPr="00D24814">
        <w:rPr>
          <w:rFonts w:cs="Arial"/>
        </w:rPr>
        <w:t>m</w:t>
      </w:r>
      <w:r w:rsidRPr="00D24814">
        <w:rPr>
          <w:rFonts w:cs="Arial"/>
          <w:vertAlign w:val="superscript"/>
        </w:rPr>
        <w:t>3</w:t>
      </w:r>
    </w:p>
    <w:p w14:paraId="300AD001" w14:textId="77777777" w:rsidR="00D24814" w:rsidRPr="00D24814" w:rsidRDefault="00D24814" w:rsidP="00084C89">
      <w:pPr>
        <w:pStyle w:val="Akapitzlist"/>
        <w:suppressAutoHyphens/>
        <w:spacing w:before="240" w:line="276" w:lineRule="auto"/>
        <w:jc w:val="both"/>
        <w:rPr>
          <w:rFonts w:cs="Arial"/>
        </w:rPr>
      </w:pPr>
    </w:p>
    <w:p w14:paraId="68330433" w14:textId="69C3A3E7" w:rsidR="00D24814" w:rsidRPr="002D379F" w:rsidRDefault="00D24814" w:rsidP="00084C89">
      <w:pPr>
        <w:pStyle w:val="Akapitzlist"/>
        <w:numPr>
          <w:ilvl w:val="0"/>
          <w:numId w:val="9"/>
        </w:numPr>
        <w:suppressAutoHyphens/>
        <w:spacing w:before="240" w:line="276" w:lineRule="auto"/>
        <w:jc w:val="both"/>
        <w:rPr>
          <w:rFonts w:cs="Arial"/>
        </w:rPr>
      </w:pPr>
      <w:r w:rsidRPr="002D379F">
        <w:rPr>
          <w:rFonts w:cs="Arial"/>
        </w:rPr>
        <w:t>wymagany zapas na 12 godzin: 75</w:t>
      </w:r>
      <w:r w:rsidR="002D379F">
        <w:rPr>
          <w:rFonts w:cs="Arial"/>
        </w:rPr>
        <w:t xml:space="preserve"> </w:t>
      </w:r>
      <w:r w:rsidR="002D379F" w:rsidRPr="00D24814">
        <w:rPr>
          <w:rFonts w:cs="Arial"/>
        </w:rPr>
        <w:t>m</w:t>
      </w:r>
      <w:r w:rsidR="002D379F" w:rsidRPr="00D24814">
        <w:rPr>
          <w:rFonts w:cs="Arial"/>
          <w:vertAlign w:val="superscript"/>
        </w:rPr>
        <w:t>3</w:t>
      </w:r>
      <w:r w:rsidR="002D379F" w:rsidRPr="002D379F">
        <w:rPr>
          <w:rFonts w:cs="Arial"/>
        </w:rPr>
        <w:t> </w:t>
      </w:r>
      <w:r w:rsidRPr="002D379F">
        <w:rPr>
          <w:rFonts w:cs="Arial"/>
        </w:rPr>
        <w:t>/</w:t>
      </w:r>
      <w:r w:rsidR="002D379F" w:rsidRPr="002D379F">
        <w:rPr>
          <w:rFonts w:cs="Arial"/>
        </w:rPr>
        <w:t> </w:t>
      </w:r>
      <w:r w:rsidRPr="002D379F">
        <w:rPr>
          <w:rFonts w:cs="Arial"/>
        </w:rPr>
        <w:t>2 = 38</w:t>
      </w:r>
      <w:r w:rsidR="002D379F">
        <w:rPr>
          <w:rFonts w:cs="Arial"/>
        </w:rPr>
        <w:t> </w:t>
      </w:r>
      <w:r w:rsidRPr="002D379F">
        <w:rPr>
          <w:rFonts w:cs="Arial"/>
        </w:rPr>
        <w:t>m</w:t>
      </w:r>
      <w:r w:rsidRPr="002D379F">
        <w:rPr>
          <w:rFonts w:cs="Arial"/>
          <w:vertAlign w:val="superscript"/>
        </w:rPr>
        <w:t>3</w:t>
      </w:r>
      <w:r w:rsidRPr="002D379F">
        <w:rPr>
          <w:rFonts w:cs="Arial"/>
        </w:rPr>
        <w:t xml:space="preserve"> </w:t>
      </w:r>
    </w:p>
    <w:p w14:paraId="083516DC" w14:textId="254820A3" w:rsidR="00D24814" w:rsidRPr="002D379F" w:rsidRDefault="00D24814" w:rsidP="00084C89">
      <w:pPr>
        <w:suppressAutoHyphens/>
        <w:spacing w:before="240"/>
        <w:jc w:val="both"/>
        <w:rPr>
          <w:rFonts w:ascii="Arial" w:hAnsi="Arial" w:cs="Arial"/>
          <w:sz w:val="24"/>
          <w:szCs w:val="24"/>
          <w:u w:val="single"/>
        </w:rPr>
      </w:pPr>
      <w:r w:rsidRPr="002D379F">
        <w:rPr>
          <w:rFonts w:ascii="Arial" w:hAnsi="Arial" w:cs="Arial"/>
          <w:sz w:val="24"/>
          <w:szCs w:val="24"/>
          <w:u w:val="single"/>
        </w:rPr>
        <w:t>Dla nowoprojektowanego budynku SOR:</w:t>
      </w:r>
    </w:p>
    <w:p w14:paraId="77BAB2D6" w14:textId="5F5BDC3A" w:rsidR="00D24814" w:rsidRPr="00D24814" w:rsidRDefault="002D379F" w:rsidP="00084C89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Założono</w:t>
      </w:r>
      <w:r w:rsidR="00D24814" w:rsidRPr="00D24814">
        <w:rPr>
          <w:rFonts w:ascii="Arial" w:hAnsi="Arial" w:cs="Arial"/>
          <w:sz w:val="24"/>
          <w:szCs w:val="24"/>
        </w:rPr>
        <w:t xml:space="preserve"> wymagany zapas na 12 godzin: 10</w:t>
      </w:r>
      <w:r>
        <w:rPr>
          <w:rFonts w:ascii="Arial" w:hAnsi="Arial" w:cs="Arial"/>
          <w:sz w:val="24"/>
          <w:szCs w:val="24"/>
        </w:rPr>
        <w:t> </w:t>
      </w:r>
      <w:r w:rsidR="00D24814" w:rsidRPr="00D24814">
        <w:rPr>
          <w:rFonts w:ascii="Arial" w:hAnsi="Arial" w:cs="Arial"/>
          <w:sz w:val="24"/>
          <w:szCs w:val="24"/>
        </w:rPr>
        <w:t>m</w:t>
      </w:r>
      <w:r w:rsidR="00D24814" w:rsidRPr="002D379F">
        <w:rPr>
          <w:rFonts w:ascii="Arial" w:hAnsi="Arial" w:cs="Arial"/>
          <w:sz w:val="24"/>
          <w:szCs w:val="24"/>
          <w:vertAlign w:val="superscript"/>
        </w:rPr>
        <w:t>3</w:t>
      </w:r>
    </w:p>
    <w:p w14:paraId="4E35FA2F" w14:textId="77777777" w:rsidR="00D24814" w:rsidRPr="002D379F" w:rsidRDefault="00D24814" w:rsidP="00084C89">
      <w:pPr>
        <w:suppressAutoHyphens/>
        <w:spacing w:before="240"/>
        <w:jc w:val="both"/>
        <w:rPr>
          <w:rFonts w:ascii="Arial" w:hAnsi="Arial" w:cs="Arial"/>
          <w:sz w:val="24"/>
          <w:szCs w:val="24"/>
          <w:u w:val="single"/>
        </w:rPr>
      </w:pPr>
      <w:r w:rsidRPr="002D379F">
        <w:rPr>
          <w:rFonts w:ascii="Arial" w:hAnsi="Arial" w:cs="Arial"/>
          <w:sz w:val="24"/>
          <w:szCs w:val="24"/>
          <w:u w:val="single"/>
        </w:rPr>
        <w:t>Całkowity zapas dla szpitala (po rozbudowie):</w:t>
      </w:r>
    </w:p>
    <w:p w14:paraId="07CBB425" w14:textId="469B8A71" w:rsidR="00D24814" w:rsidRPr="00D24814" w:rsidRDefault="00D24814" w:rsidP="00084C8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D24814">
        <w:rPr>
          <w:rFonts w:ascii="Arial" w:hAnsi="Arial" w:cs="Arial"/>
          <w:sz w:val="24"/>
          <w:szCs w:val="24"/>
        </w:rPr>
        <w:t>38</w:t>
      </w:r>
      <w:r w:rsidR="002D379F">
        <w:rPr>
          <w:rFonts w:ascii="Arial" w:hAnsi="Arial" w:cs="Arial"/>
          <w:sz w:val="24"/>
          <w:szCs w:val="24"/>
        </w:rPr>
        <w:t> </w:t>
      </w:r>
      <w:r w:rsidRPr="00D24814">
        <w:rPr>
          <w:rFonts w:ascii="Arial" w:hAnsi="Arial" w:cs="Arial"/>
          <w:sz w:val="24"/>
          <w:szCs w:val="24"/>
        </w:rPr>
        <w:t>m</w:t>
      </w:r>
      <w:r w:rsidRPr="002D379F">
        <w:rPr>
          <w:rFonts w:ascii="Arial" w:hAnsi="Arial" w:cs="Arial"/>
          <w:sz w:val="24"/>
          <w:szCs w:val="24"/>
          <w:vertAlign w:val="superscript"/>
        </w:rPr>
        <w:t>3</w:t>
      </w:r>
      <w:r w:rsidRPr="00D24814">
        <w:rPr>
          <w:rFonts w:ascii="Arial" w:hAnsi="Arial" w:cs="Arial"/>
          <w:sz w:val="24"/>
          <w:szCs w:val="24"/>
        </w:rPr>
        <w:t xml:space="preserve"> + 10</w:t>
      </w:r>
      <w:r w:rsidR="002D379F">
        <w:rPr>
          <w:rFonts w:ascii="Arial" w:hAnsi="Arial" w:cs="Arial"/>
          <w:sz w:val="24"/>
          <w:szCs w:val="24"/>
        </w:rPr>
        <w:t> </w:t>
      </w:r>
      <w:r w:rsidRPr="00D24814">
        <w:rPr>
          <w:rFonts w:ascii="Arial" w:hAnsi="Arial" w:cs="Arial"/>
          <w:sz w:val="24"/>
          <w:szCs w:val="24"/>
        </w:rPr>
        <w:t>m</w:t>
      </w:r>
      <w:r w:rsidRPr="002D379F">
        <w:rPr>
          <w:rFonts w:ascii="Arial" w:hAnsi="Arial" w:cs="Arial"/>
          <w:sz w:val="24"/>
          <w:szCs w:val="24"/>
          <w:vertAlign w:val="superscript"/>
        </w:rPr>
        <w:t>3</w:t>
      </w:r>
      <w:r w:rsidRPr="00D24814">
        <w:rPr>
          <w:rFonts w:ascii="Arial" w:hAnsi="Arial" w:cs="Arial"/>
          <w:sz w:val="24"/>
          <w:szCs w:val="24"/>
        </w:rPr>
        <w:t xml:space="preserve"> = 48</w:t>
      </w:r>
      <w:r w:rsidR="002D379F">
        <w:rPr>
          <w:rFonts w:ascii="Arial" w:hAnsi="Arial" w:cs="Arial"/>
          <w:sz w:val="24"/>
          <w:szCs w:val="24"/>
        </w:rPr>
        <w:t> </w:t>
      </w:r>
      <w:r w:rsidRPr="00D24814">
        <w:rPr>
          <w:rFonts w:ascii="Arial" w:hAnsi="Arial" w:cs="Arial"/>
          <w:sz w:val="24"/>
          <w:szCs w:val="24"/>
        </w:rPr>
        <w:t>m</w:t>
      </w:r>
      <w:r w:rsidRPr="002D379F">
        <w:rPr>
          <w:rFonts w:ascii="Arial" w:hAnsi="Arial" w:cs="Arial"/>
          <w:sz w:val="24"/>
          <w:szCs w:val="24"/>
          <w:vertAlign w:val="superscript"/>
        </w:rPr>
        <w:t>3</w:t>
      </w:r>
    </w:p>
    <w:p w14:paraId="2CCAA577" w14:textId="16FC9BF5" w:rsidR="00D24814" w:rsidRPr="00D24814" w:rsidRDefault="002D379F" w:rsidP="00084C89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Zakładając dodatkowo</w:t>
      </w:r>
      <w:r w:rsidR="00D24814" w:rsidRPr="00D24814">
        <w:rPr>
          <w:rFonts w:ascii="Arial" w:hAnsi="Arial" w:cs="Arial"/>
          <w:sz w:val="24"/>
          <w:szCs w:val="24"/>
        </w:rPr>
        <w:t xml:space="preserve"> współczynnik bezpieczeństwa: 48</w:t>
      </w:r>
      <w:r>
        <w:rPr>
          <w:rFonts w:ascii="Arial" w:hAnsi="Arial" w:cs="Arial"/>
          <w:sz w:val="24"/>
          <w:szCs w:val="24"/>
        </w:rPr>
        <w:t> </w:t>
      </w:r>
      <w:r w:rsidR="00D24814" w:rsidRPr="00D24814">
        <w:rPr>
          <w:rFonts w:ascii="Arial" w:hAnsi="Arial" w:cs="Arial"/>
          <w:sz w:val="24"/>
          <w:szCs w:val="24"/>
        </w:rPr>
        <w:t>m</w:t>
      </w:r>
      <w:r w:rsidR="00D24814" w:rsidRPr="002D379F">
        <w:rPr>
          <w:rFonts w:ascii="Arial" w:hAnsi="Arial" w:cs="Arial"/>
          <w:sz w:val="24"/>
          <w:szCs w:val="24"/>
          <w:vertAlign w:val="superscript"/>
        </w:rPr>
        <w:t>3</w:t>
      </w:r>
      <w:r w:rsidR="00D24814" w:rsidRPr="00D24814">
        <w:rPr>
          <w:rFonts w:ascii="Arial" w:hAnsi="Arial" w:cs="Arial"/>
          <w:sz w:val="24"/>
          <w:szCs w:val="24"/>
        </w:rPr>
        <w:t xml:space="preserve"> </w:t>
      </w:r>
      <w:r w:rsidR="00D24814" w:rsidRPr="002D379F">
        <w:rPr>
          <w:rFonts w:ascii="Arial" w:hAnsi="Arial" w:cs="Arial"/>
        </w:rPr>
        <w:t>x</w:t>
      </w:r>
      <w:r w:rsidR="00D24814" w:rsidRPr="00D24814">
        <w:rPr>
          <w:rFonts w:ascii="Arial" w:hAnsi="Arial" w:cs="Arial"/>
          <w:sz w:val="24"/>
          <w:szCs w:val="24"/>
        </w:rPr>
        <w:t xml:space="preserve"> 1,15 = 56</w:t>
      </w:r>
      <w:r>
        <w:rPr>
          <w:rFonts w:ascii="Arial" w:hAnsi="Arial" w:cs="Arial"/>
          <w:sz w:val="24"/>
          <w:szCs w:val="24"/>
        </w:rPr>
        <w:t> </w:t>
      </w:r>
      <w:r w:rsidR="00D24814" w:rsidRPr="00D24814">
        <w:rPr>
          <w:rFonts w:ascii="Arial" w:hAnsi="Arial" w:cs="Arial"/>
          <w:sz w:val="24"/>
          <w:szCs w:val="24"/>
        </w:rPr>
        <w:t>m</w:t>
      </w:r>
      <w:r w:rsidR="00D24814" w:rsidRPr="002D379F">
        <w:rPr>
          <w:rFonts w:ascii="Arial" w:hAnsi="Arial" w:cs="Arial"/>
          <w:sz w:val="24"/>
          <w:szCs w:val="24"/>
          <w:vertAlign w:val="superscript"/>
        </w:rPr>
        <w:t>3</w:t>
      </w:r>
    </w:p>
    <w:p w14:paraId="7FA500BB" w14:textId="6F50A7F4" w:rsidR="00D24814" w:rsidRPr="002D379F" w:rsidRDefault="002D379F" w:rsidP="00084C89">
      <w:pPr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 w:rsidRPr="002D379F">
        <w:rPr>
          <w:rFonts w:ascii="Arial" w:hAnsi="Arial" w:cs="Arial"/>
          <w:b/>
          <w:bCs/>
          <w:sz w:val="24"/>
          <w:szCs w:val="24"/>
        </w:rPr>
        <w:t>W pomieszczeniu przewiduje się zabudowę zbiornika o pojemności 56 m</w:t>
      </w:r>
      <w:r w:rsidRPr="002D379F">
        <w:rPr>
          <w:rFonts w:ascii="Arial" w:hAnsi="Arial" w:cs="Arial"/>
          <w:b/>
          <w:bCs/>
          <w:sz w:val="24"/>
          <w:szCs w:val="24"/>
          <w:vertAlign w:val="superscript"/>
        </w:rPr>
        <w:t>3</w:t>
      </w:r>
      <w:r w:rsidRPr="002D379F">
        <w:rPr>
          <w:rFonts w:ascii="Arial" w:hAnsi="Arial" w:cs="Arial"/>
          <w:b/>
          <w:bCs/>
          <w:sz w:val="24"/>
          <w:szCs w:val="24"/>
        </w:rPr>
        <w:t xml:space="preserve"> zapewniającego wodę na 12 godzin pracy budynku szpitala po jego rozbudowie.</w:t>
      </w:r>
    </w:p>
    <w:p w14:paraId="1CF34023" w14:textId="38A24DB9" w:rsidR="00B657AB" w:rsidRPr="002A5027" w:rsidRDefault="002A5027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5" w:name="_Toc101530712"/>
      <w:r w:rsidRPr="002A5027">
        <w:rPr>
          <w:rFonts w:ascii="Arial" w:hAnsi="Arial" w:cs="Arial"/>
          <w:color w:val="auto"/>
        </w:rPr>
        <w:t>Opis projektowanej instalacji</w:t>
      </w:r>
      <w:bookmarkEnd w:id="5"/>
    </w:p>
    <w:p w14:paraId="4B906B91" w14:textId="6BE24A2D" w:rsidR="003F36B0" w:rsidRPr="003F36B0" w:rsidRDefault="002A5027" w:rsidP="00B00C51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2A5027">
        <w:rPr>
          <w:rFonts w:ascii="Arial" w:hAnsi="Arial" w:cs="Arial"/>
          <w:sz w:val="24"/>
          <w:szCs w:val="24"/>
        </w:rPr>
        <w:t>Przewiduje się wejście instalacji wodociągowej do pomieszczenia technicznego w piwnicy w segmencie A budynku</w:t>
      </w:r>
      <w:r w:rsidRPr="002A502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Za wejściem</w:t>
      </w:r>
      <w:r w:rsidRPr="002A5027">
        <w:rPr>
          <w:rFonts w:ascii="Arial" w:hAnsi="Arial" w:cs="Arial"/>
          <w:sz w:val="24"/>
          <w:szCs w:val="24"/>
        </w:rPr>
        <w:t xml:space="preserve"> przewodu wodociągowego do budynku następuje rozdział </w:t>
      </w:r>
      <w:r w:rsidR="007716D3">
        <w:rPr>
          <w:rFonts w:ascii="Arial" w:hAnsi="Arial" w:cs="Arial"/>
          <w:sz w:val="24"/>
          <w:szCs w:val="24"/>
        </w:rPr>
        <w:t xml:space="preserve">instalacji </w:t>
      </w:r>
      <w:r w:rsidRPr="002A5027">
        <w:rPr>
          <w:rFonts w:ascii="Arial" w:hAnsi="Arial" w:cs="Arial"/>
          <w:sz w:val="24"/>
          <w:szCs w:val="24"/>
        </w:rPr>
        <w:t>do</w:t>
      </w:r>
      <w:r w:rsidR="007716D3">
        <w:rPr>
          <w:rFonts w:ascii="Arial" w:hAnsi="Arial" w:cs="Arial"/>
          <w:sz w:val="24"/>
          <w:szCs w:val="24"/>
        </w:rPr>
        <w:t xml:space="preserve"> części bytowej oraz do</w:t>
      </w:r>
      <w:r w:rsidRPr="002A5027">
        <w:rPr>
          <w:rFonts w:ascii="Arial" w:hAnsi="Arial" w:cs="Arial"/>
          <w:sz w:val="24"/>
          <w:szCs w:val="24"/>
        </w:rPr>
        <w:t xml:space="preserve"> projektowanego zestawu hydroforowego</w:t>
      </w:r>
      <w:r>
        <w:rPr>
          <w:rFonts w:ascii="Arial" w:hAnsi="Arial" w:cs="Arial"/>
          <w:sz w:val="24"/>
          <w:szCs w:val="24"/>
        </w:rPr>
        <w:t xml:space="preserve">, który ma na celu zapewnienie odpowiedniego ciśnienia na projektowanych instalacjach </w:t>
      </w:r>
      <w:r w:rsidR="007716D3">
        <w:rPr>
          <w:rFonts w:ascii="Arial" w:hAnsi="Arial" w:cs="Arial"/>
          <w:sz w:val="24"/>
          <w:szCs w:val="24"/>
        </w:rPr>
        <w:t>na cele p</w:t>
      </w:r>
      <w:r w:rsidR="00A105D7">
        <w:rPr>
          <w:rFonts w:ascii="Arial" w:hAnsi="Arial" w:cs="Arial"/>
          <w:sz w:val="24"/>
          <w:szCs w:val="24"/>
        </w:rPr>
        <w:t>rzeciwpożarowe</w:t>
      </w:r>
      <w:r w:rsidR="007716D3">
        <w:rPr>
          <w:rFonts w:ascii="Arial" w:hAnsi="Arial" w:cs="Arial"/>
          <w:sz w:val="24"/>
          <w:szCs w:val="24"/>
        </w:rPr>
        <w:t xml:space="preserve">. </w:t>
      </w:r>
      <w:r w:rsidR="003F36B0" w:rsidRPr="003F36B0">
        <w:rPr>
          <w:rFonts w:ascii="Arial" w:hAnsi="Arial" w:cs="Arial"/>
          <w:sz w:val="24"/>
          <w:szCs w:val="24"/>
        </w:rPr>
        <w:t xml:space="preserve">Na odejściu wody na cele przeciwpożarowe zasilające hydranty wewnętrzne zamontować zawory odcinające DN50, filtr siatkowy DN50 oraz zawór </w:t>
      </w:r>
      <w:proofErr w:type="spellStart"/>
      <w:r w:rsidR="003F36B0" w:rsidRPr="003F36B0">
        <w:rPr>
          <w:rFonts w:ascii="Arial" w:hAnsi="Arial" w:cs="Arial"/>
          <w:sz w:val="24"/>
          <w:szCs w:val="24"/>
        </w:rPr>
        <w:t>antyskażeniowy</w:t>
      </w:r>
      <w:proofErr w:type="spellEnd"/>
      <w:r w:rsidR="003F36B0" w:rsidRPr="003F36B0">
        <w:rPr>
          <w:rFonts w:ascii="Arial" w:hAnsi="Arial" w:cs="Arial"/>
          <w:sz w:val="24"/>
          <w:szCs w:val="24"/>
        </w:rPr>
        <w:t xml:space="preserve"> typu BA DN40. Prowadzenie wewnętrznej instalacji hydrantowej w obrębie budynku szpitala obejmuje odrębne opracowanie. Na odejściu wody na cele przeciwpożarowe zasilające hydranty zewnętrzne zamontować  zawory odcinające DN80, filtr siatkowy DN80 oraz zawór </w:t>
      </w:r>
      <w:proofErr w:type="spellStart"/>
      <w:r w:rsidR="003F36B0" w:rsidRPr="003F36B0">
        <w:rPr>
          <w:rFonts w:ascii="Arial" w:hAnsi="Arial" w:cs="Arial"/>
          <w:sz w:val="24"/>
          <w:szCs w:val="24"/>
        </w:rPr>
        <w:t>antyskażeniowy</w:t>
      </w:r>
      <w:proofErr w:type="spellEnd"/>
      <w:r w:rsidR="003F36B0" w:rsidRPr="003F36B0">
        <w:rPr>
          <w:rFonts w:ascii="Arial" w:hAnsi="Arial" w:cs="Arial"/>
          <w:sz w:val="24"/>
          <w:szCs w:val="24"/>
        </w:rPr>
        <w:t xml:space="preserve"> typu BA DN100. Następnie za zaworem odcinającym należy wyprowadzić instalację z budynku</w:t>
      </w:r>
      <w:r w:rsidR="00084C89">
        <w:rPr>
          <w:rFonts w:ascii="Arial" w:hAnsi="Arial" w:cs="Arial"/>
          <w:sz w:val="24"/>
          <w:szCs w:val="24"/>
        </w:rPr>
        <w:t xml:space="preserve"> do hydrantów zewnętrznych (wg odrębnego opracowania).</w:t>
      </w:r>
    </w:p>
    <w:p w14:paraId="0F837A39" w14:textId="77777777" w:rsidR="003F36B0" w:rsidRDefault="003F36B0" w:rsidP="00084C89">
      <w:pPr>
        <w:suppressAutoHyphens/>
        <w:jc w:val="both"/>
        <w:rPr>
          <w:rFonts w:ascii="Arial" w:hAnsi="Arial" w:cs="Arial"/>
          <w:sz w:val="24"/>
          <w:szCs w:val="24"/>
        </w:rPr>
      </w:pPr>
      <w:r w:rsidRPr="003F36B0">
        <w:rPr>
          <w:rFonts w:ascii="Arial" w:hAnsi="Arial" w:cs="Arial"/>
          <w:sz w:val="24"/>
          <w:szCs w:val="24"/>
        </w:rPr>
        <w:t>Na odejściu wody na cele bytowe należy zamontować zawory odcinające DN80, filtr siatkowy DN80 oraz zawór pierwszeństwa DN50.</w:t>
      </w:r>
      <w:r>
        <w:rPr>
          <w:rFonts w:ascii="Arial" w:hAnsi="Arial" w:cs="Arial"/>
          <w:sz w:val="24"/>
          <w:szCs w:val="24"/>
        </w:rPr>
        <w:t xml:space="preserve"> </w:t>
      </w:r>
      <w:r w:rsidR="007716D3">
        <w:rPr>
          <w:rFonts w:ascii="Arial" w:hAnsi="Arial" w:cs="Arial"/>
          <w:sz w:val="24"/>
          <w:szCs w:val="24"/>
        </w:rPr>
        <w:t>Instalacja wody bytowej dostarcza wodę do zbiornika o pojemności 56 m</w:t>
      </w:r>
      <w:r w:rsidR="007716D3">
        <w:rPr>
          <w:rFonts w:ascii="Arial" w:hAnsi="Arial" w:cs="Arial"/>
          <w:sz w:val="24"/>
          <w:szCs w:val="24"/>
          <w:vertAlign w:val="superscript"/>
        </w:rPr>
        <w:t>3</w:t>
      </w:r>
      <w:r w:rsidR="007716D3">
        <w:rPr>
          <w:rFonts w:ascii="Arial" w:hAnsi="Arial" w:cs="Arial"/>
          <w:sz w:val="24"/>
          <w:szCs w:val="24"/>
        </w:rPr>
        <w:t xml:space="preserve">. Przed zbiornikiem przewidziano </w:t>
      </w:r>
      <w:r w:rsidR="00A105D7">
        <w:rPr>
          <w:rFonts w:ascii="Arial" w:hAnsi="Arial" w:cs="Arial"/>
          <w:sz w:val="24"/>
          <w:szCs w:val="24"/>
        </w:rPr>
        <w:t>uzdatnianie wody</w:t>
      </w:r>
      <w:r w:rsidR="007716D3">
        <w:rPr>
          <w:rFonts w:ascii="Arial" w:hAnsi="Arial" w:cs="Arial"/>
          <w:sz w:val="24"/>
          <w:szCs w:val="24"/>
        </w:rPr>
        <w:t xml:space="preserve"> w filtrze wstępnym oraz zestawie zmiękczającym. </w:t>
      </w:r>
      <w:r w:rsidR="00A105D7">
        <w:rPr>
          <w:rFonts w:ascii="Arial" w:hAnsi="Arial" w:cs="Arial"/>
          <w:sz w:val="24"/>
          <w:szCs w:val="24"/>
        </w:rPr>
        <w:t xml:space="preserve">Na przewodzie zasilającym zaprojektowano zawór regulacyjny wyposażony w zawór pływakowy odpowiedzialny za utrzymywanie stałego poziomu wody w zbiorniku. Na wylocie ze zbiornika należy zamontować kosz ssawny. Woda ze zbiornika będzie napływała do projektowanego zestawu hydroforowego, który ma za zadanie zapewnić odpowiednie ciśnienie na instalacji bytowej. </w:t>
      </w:r>
      <w:r w:rsidRPr="003F36B0">
        <w:rPr>
          <w:rFonts w:ascii="Arial" w:hAnsi="Arial" w:cs="Arial"/>
          <w:sz w:val="24"/>
          <w:szCs w:val="24"/>
        </w:rPr>
        <w:t xml:space="preserve">Prowadzenie wewnętrznej instalacji wodociągowej w obrębie budynku szpitala obejmuje odrębne opracowanie. </w:t>
      </w:r>
    </w:p>
    <w:p w14:paraId="370F4970" w14:textId="243E9269" w:rsidR="002A5027" w:rsidRPr="00087718" w:rsidRDefault="003E4BF1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6" w:name="_Toc101530713"/>
      <w:r>
        <w:rPr>
          <w:rFonts w:ascii="Arial" w:hAnsi="Arial" w:cs="Arial"/>
          <w:color w:val="auto"/>
        </w:rPr>
        <w:t>Krótka charakterystyka dobranych</w:t>
      </w:r>
      <w:r w:rsidR="002A5027" w:rsidRPr="00087718">
        <w:rPr>
          <w:rFonts w:ascii="Arial" w:hAnsi="Arial" w:cs="Arial"/>
          <w:color w:val="auto"/>
        </w:rPr>
        <w:t xml:space="preserve"> urządze</w:t>
      </w:r>
      <w:r>
        <w:rPr>
          <w:rFonts w:ascii="Arial" w:hAnsi="Arial" w:cs="Arial"/>
          <w:color w:val="auto"/>
        </w:rPr>
        <w:t>ń</w:t>
      </w:r>
      <w:bookmarkEnd w:id="6"/>
    </w:p>
    <w:p w14:paraId="1E4E0CCE" w14:textId="2D4C6E56" w:rsidR="00087718" w:rsidRPr="00605AB0" w:rsidRDefault="00087718" w:rsidP="00084C89">
      <w:pPr>
        <w:pStyle w:val="Akapitzlist"/>
        <w:numPr>
          <w:ilvl w:val="1"/>
          <w:numId w:val="5"/>
        </w:numPr>
        <w:suppressAutoHyphens/>
        <w:spacing w:before="240" w:after="240" w:line="276" w:lineRule="auto"/>
        <w:jc w:val="both"/>
        <w:rPr>
          <w:rFonts w:cs="Arial"/>
          <w:u w:val="single"/>
        </w:rPr>
      </w:pPr>
      <w:r w:rsidRPr="00605AB0">
        <w:rPr>
          <w:rFonts w:cs="Arial"/>
          <w:u w:val="single"/>
        </w:rPr>
        <w:t xml:space="preserve">Zestaw hydroforowy 4-pompowy COR-2 </w:t>
      </w:r>
      <w:proofErr w:type="spellStart"/>
      <w:r w:rsidRPr="00605AB0">
        <w:rPr>
          <w:rFonts w:cs="Arial"/>
          <w:u w:val="single"/>
        </w:rPr>
        <w:t>Helix</w:t>
      </w:r>
      <w:proofErr w:type="spellEnd"/>
      <w:r w:rsidRPr="00605AB0">
        <w:rPr>
          <w:rFonts w:cs="Arial"/>
          <w:u w:val="single"/>
        </w:rPr>
        <w:t xml:space="preserve"> VF 1009/S.C firmy </w:t>
      </w:r>
      <w:proofErr w:type="spellStart"/>
      <w:r w:rsidRPr="00605AB0">
        <w:rPr>
          <w:rFonts w:cs="Arial"/>
          <w:u w:val="single"/>
        </w:rPr>
        <w:t>Wilo</w:t>
      </w:r>
      <w:proofErr w:type="spellEnd"/>
    </w:p>
    <w:p w14:paraId="6831AD03" w14:textId="77777777" w:rsidR="00605AB0" w:rsidRDefault="00605AB0" w:rsidP="00084C89">
      <w:pPr>
        <w:pStyle w:val="Akapitzlist"/>
        <w:suppressAutoHyphens/>
        <w:spacing w:before="240" w:after="240" w:line="276" w:lineRule="auto"/>
        <w:ind w:left="792"/>
        <w:jc w:val="both"/>
        <w:rPr>
          <w:rFonts w:cs="Arial"/>
        </w:rPr>
      </w:pPr>
    </w:p>
    <w:p w14:paraId="547DEB6F" w14:textId="531F1ED6" w:rsidR="00605AB0" w:rsidRDefault="00605AB0" w:rsidP="00084C89">
      <w:pPr>
        <w:pStyle w:val="Akapitzlist"/>
        <w:suppressAutoHyphens/>
        <w:spacing w:before="240" w:after="240" w:line="276" w:lineRule="auto"/>
        <w:ind w:left="792"/>
        <w:jc w:val="both"/>
        <w:rPr>
          <w:rFonts w:cs="Arial"/>
        </w:rPr>
      </w:pPr>
      <w:bookmarkStart w:id="7" w:name="_Hlk101524603"/>
      <w:r w:rsidRPr="00605AB0">
        <w:rPr>
          <w:rFonts w:cs="Arial"/>
        </w:rPr>
        <w:t xml:space="preserve">Należy zamontować zestaw hydroforowy 4-pompowy (układ: 3 praca + 1 rezerwa) COR-2 </w:t>
      </w:r>
      <w:proofErr w:type="spellStart"/>
      <w:r w:rsidRPr="00605AB0">
        <w:rPr>
          <w:rFonts w:cs="Arial"/>
        </w:rPr>
        <w:t>Helix</w:t>
      </w:r>
      <w:proofErr w:type="spellEnd"/>
      <w:r w:rsidRPr="00605AB0">
        <w:rPr>
          <w:rFonts w:cs="Arial"/>
        </w:rPr>
        <w:t xml:space="preserve"> VF 1009/S.C.-FFS firmy </w:t>
      </w:r>
      <w:proofErr w:type="spellStart"/>
      <w:r w:rsidRPr="00605AB0">
        <w:rPr>
          <w:rFonts w:cs="Arial"/>
        </w:rPr>
        <w:t>Wilo</w:t>
      </w:r>
      <w:proofErr w:type="spellEnd"/>
      <w:r w:rsidRPr="00605AB0">
        <w:rPr>
          <w:rFonts w:cs="Arial"/>
        </w:rPr>
        <w:t xml:space="preserve"> o wydajności Q = 20 dm</w:t>
      </w:r>
      <w:r w:rsidRPr="00751934">
        <w:rPr>
          <w:rFonts w:cs="Arial"/>
          <w:vertAlign w:val="superscript"/>
        </w:rPr>
        <w:t>3</w:t>
      </w:r>
      <w:r w:rsidRPr="00605AB0">
        <w:rPr>
          <w:rFonts w:cs="Arial"/>
        </w:rPr>
        <w:t>/s i wysokości podnoszenia H = 47 m. Pomieszczenie techniczne, w którym zostanie zamontowany zestaw hydroforowy należy wydzielić jako odrębna strefa pożarowa elementami oddzielenia przeciwpożarowego (ściany i strop), o klasie odporności ogniowej REI 120 oraz drzwiami o klasie odporności ogniowej EI 60. Zasilanie zestawu hydroforowego należy doprowadzić przewodem ognioochronnym PH 90, sprzed przeciwpożarowego wyłącznika prądu. Zestaw hydroforowy należy wyposażyć w układ pomiarowy o</w:t>
      </w:r>
      <w:r>
        <w:rPr>
          <w:rFonts w:cs="Arial"/>
        </w:rPr>
        <w:t> </w:t>
      </w:r>
      <w:r w:rsidRPr="00605AB0">
        <w:rPr>
          <w:rFonts w:cs="Arial"/>
        </w:rPr>
        <w:t xml:space="preserve">wydajności zestawu. Dobrano układ pomiarowy UP 80 firmy </w:t>
      </w:r>
      <w:proofErr w:type="spellStart"/>
      <w:r w:rsidRPr="00605AB0">
        <w:rPr>
          <w:rFonts w:cs="Arial"/>
        </w:rPr>
        <w:t>Wilo</w:t>
      </w:r>
      <w:proofErr w:type="spellEnd"/>
      <w:r w:rsidRPr="00605AB0">
        <w:rPr>
          <w:rFonts w:cs="Arial"/>
        </w:rPr>
        <w:t>. Dodatkowo w pomieszczeniu należy zabudować studnię o średnicy Ø1000, z</w:t>
      </w:r>
      <w:r>
        <w:rPr>
          <w:rFonts w:cs="Arial"/>
        </w:rPr>
        <w:t> </w:t>
      </w:r>
      <w:r w:rsidRPr="00605AB0">
        <w:rPr>
          <w:rFonts w:cs="Arial"/>
        </w:rPr>
        <w:t xml:space="preserve">pompą zatapialną o wydajności zestawu hydroforowego. Dobrano pompę zatapialną </w:t>
      </w:r>
      <w:proofErr w:type="spellStart"/>
      <w:r w:rsidRPr="00605AB0">
        <w:rPr>
          <w:rFonts w:cs="Arial"/>
        </w:rPr>
        <w:t>Wilo-Drain</w:t>
      </w:r>
      <w:proofErr w:type="spellEnd"/>
      <w:r w:rsidRPr="00605AB0">
        <w:rPr>
          <w:rFonts w:cs="Arial"/>
        </w:rPr>
        <w:t xml:space="preserve"> TP80 o wydajności Q = 100m</w:t>
      </w:r>
      <w:r w:rsidRPr="00751934">
        <w:rPr>
          <w:rFonts w:cs="Arial"/>
          <w:vertAlign w:val="superscript"/>
        </w:rPr>
        <w:t>3</w:t>
      </w:r>
      <w:r w:rsidRPr="00605AB0">
        <w:rPr>
          <w:rFonts w:cs="Arial"/>
        </w:rPr>
        <w:t xml:space="preserve">/h. Przepompowywane ścieki należy odprowadzić do najbliższej istniejącej kanalizacji sanitarnej za pomocą rury Ø90PE. Za zestawem hydroforowym i układem pomiarowym projektuje się doprowadzenie wody przewodami stalowymi ocynkowanymi DN100 i wykonanie rozdziału </w:t>
      </w:r>
      <w:r>
        <w:rPr>
          <w:rFonts w:cs="Arial"/>
        </w:rPr>
        <w:t xml:space="preserve">instalacji </w:t>
      </w:r>
      <w:r w:rsidRPr="00605AB0">
        <w:rPr>
          <w:rFonts w:cs="Arial"/>
        </w:rPr>
        <w:t>na cele p.poż (hydranty zewnętrzne i</w:t>
      </w:r>
      <w:r>
        <w:rPr>
          <w:rFonts w:cs="Arial"/>
        </w:rPr>
        <w:t> </w:t>
      </w:r>
      <w:r w:rsidRPr="00605AB0">
        <w:rPr>
          <w:rFonts w:cs="Arial"/>
        </w:rPr>
        <w:t>hydranty wewnętrzne).</w:t>
      </w:r>
    </w:p>
    <w:bookmarkEnd w:id="7"/>
    <w:p w14:paraId="6BEEE19D" w14:textId="77777777" w:rsidR="00605AB0" w:rsidRPr="00605AB0" w:rsidRDefault="00605AB0" w:rsidP="00084C89">
      <w:pPr>
        <w:pStyle w:val="Akapitzlist"/>
        <w:suppressAutoHyphens/>
        <w:spacing w:before="240" w:after="240" w:line="276" w:lineRule="auto"/>
        <w:ind w:left="792"/>
        <w:jc w:val="both"/>
        <w:rPr>
          <w:rFonts w:cs="Arial"/>
        </w:rPr>
      </w:pPr>
    </w:p>
    <w:p w14:paraId="5239B2DA" w14:textId="41BF8858" w:rsidR="00087718" w:rsidRPr="00955CC8" w:rsidRDefault="00087718" w:rsidP="00084C89">
      <w:pPr>
        <w:pStyle w:val="Akapitzlist"/>
        <w:numPr>
          <w:ilvl w:val="1"/>
          <w:numId w:val="5"/>
        </w:numPr>
        <w:suppressAutoHyphens/>
        <w:spacing w:line="276" w:lineRule="auto"/>
        <w:jc w:val="both"/>
        <w:rPr>
          <w:rFonts w:cs="Arial"/>
          <w:u w:val="single"/>
        </w:rPr>
      </w:pPr>
      <w:r w:rsidRPr="00955CC8">
        <w:rPr>
          <w:rFonts w:cs="Arial"/>
          <w:u w:val="single"/>
        </w:rPr>
        <w:t>Filtr wstępny CENTRIFUGES NW75 firmy EPURO</w:t>
      </w:r>
    </w:p>
    <w:p w14:paraId="6BDE6238" w14:textId="4D6AFEC5" w:rsidR="00605AB0" w:rsidRDefault="00605AB0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1CBCB24C" w14:textId="62AB4930" w:rsidR="00605AB0" w:rsidRDefault="00931DB5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</w:rPr>
      </w:pPr>
      <w:r w:rsidRPr="00931DB5">
        <w:rPr>
          <w:rFonts w:cs="Arial"/>
        </w:rPr>
        <w:t xml:space="preserve">Pierwszym etapem technologii uzdatniania wody jest filtracja mechaniczna na filtrze CENTRIFUGES NW75 z wkładami wymiennymi o progu filtracji 100 </w:t>
      </w:r>
      <w:proofErr w:type="spellStart"/>
      <w:r w:rsidRPr="00931DB5">
        <w:rPr>
          <w:rFonts w:cs="Arial"/>
        </w:rPr>
        <w:t>μm</w:t>
      </w:r>
      <w:proofErr w:type="spellEnd"/>
      <w:r w:rsidRPr="00931DB5">
        <w:rPr>
          <w:rFonts w:cs="Arial"/>
        </w:rPr>
        <w:t>. Celem filtracji jest usuwanie z wody głównego ładunku zanieczyszczeń mechanicznych oraz innych drobnych cząstek i zawiesin stałych typowych dla instalacji wody.</w:t>
      </w:r>
      <w:r>
        <w:rPr>
          <w:rFonts w:cs="Arial"/>
        </w:rPr>
        <w:t xml:space="preserve"> </w:t>
      </w:r>
    </w:p>
    <w:p w14:paraId="6023A661" w14:textId="77777777" w:rsidR="00931DB5" w:rsidRPr="00605AB0" w:rsidRDefault="00931DB5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</w:rPr>
      </w:pPr>
    </w:p>
    <w:p w14:paraId="4435AA34" w14:textId="52B2BF50" w:rsidR="00087718" w:rsidRPr="00955CC8" w:rsidRDefault="00087718" w:rsidP="00084C89">
      <w:pPr>
        <w:pStyle w:val="Akapitzlist"/>
        <w:numPr>
          <w:ilvl w:val="1"/>
          <w:numId w:val="5"/>
        </w:numPr>
        <w:suppressAutoHyphens/>
        <w:spacing w:before="240" w:after="240" w:line="276" w:lineRule="auto"/>
        <w:jc w:val="both"/>
        <w:rPr>
          <w:rFonts w:cs="Arial"/>
          <w:u w:val="single"/>
        </w:rPr>
      </w:pPr>
      <w:r w:rsidRPr="00955CC8">
        <w:rPr>
          <w:rFonts w:cs="Arial"/>
          <w:u w:val="single"/>
        </w:rPr>
        <w:t>Zmiękczacz jonowymienny EPUROTECH 52/425 DE firmy EPURO</w:t>
      </w:r>
    </w:p>
    <w:p w14:paraId="37F1308C" w14:textId="77777777" w:rsidR="00931DB5" w:rsidRPr="00931DB5" w:rsidRDefault="00931DB5" w:rsidP="00084C89">
      <w:pPr>
        <w:pStyle w:val="Akapitzlist"/>
        <w:suppressAutoHyphens/>
        <w:spacing w:before="240" w:after="240" w:line="276" w:lineRule="auto"/>
        <w:ind w:left="792"/>
        <w:jc w:val="both"/>
        <w:rPr>
          <w:rFonts w:cs="Arial"/>
        </w:rPr>
      </w:pPr>
    </w:p>
    <w:p w14:paraId="7614339F" w14:textId="198E19FF" w:rsidR="00931DB5" w:rsidRDefault="00931DB5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</w:rPr>
      </w:pPr>
      <w:r w:rsidRPr="00931DB5">
        <w:rPr>
          <w:rFonts w:cs="Arial"/>
        </w:rPr>
        <w:t>Woda po procesie wstępnej filtracji trafia na zmiękczacz jonowymienny. Zmiękczanie wody będzie realizowane na drodze wymiany jonowej w</w:t>
      </w:r>
      <w:r>
        <w:rPr>
          <w:rFonts w:cs="Arial"/>
        </w:rPr>
        <w:t> </w:t>
      </w:r>
      <w:r w:rsidRPr="00931DB5">
        <w:rPr>
          <w:rFonts w:cs="Arial"/>
        </w:rPr>
        <w:t xml:space="preserve">kationitach silnie kwasowych, regenerowanych w cyklu sodowym, w których zostanie usunięta twardość ogólna do poziomu 0,1 </w:t>
      </w:r>
      <w:r w:rsidRPr="00931DB5">
        <w:rPr>
          <w:rFonts w:cs="Arial"/>
          <w:vertAlign w:val="superscript"/>
        </w:rPr>
        <w:t>0</w:t>
      </w:r>
      <w:r w:rsidRPr="00931DB5">
        <w:rPr>
          <w:rFonts w:cs="Arial"/>
        </w:rPr>
        <w:t xml:space="preserve">dH. Do regeneracji kolumn zmiękczających będzie używana sól tabletkowana. Uruchamianie regeneracji odbywa się objętościowo (w zależności od zaprogramowanej objętości wody uzdatnionej). Regeneracja odbywać się będzie w trybie przeciwprądowym, optymalizując zużycie soli i wody do regeneracji. </w:t>
      </w:r>
      <w:r>
        <w:rPr>
          <w:rFonts w:cs="Arial"/>
        </w:rPr>
        <w:t>Dobrano</w:t>
      </w:r>
      <w:r w:rsidRPr="00931DB5">
        <w:rPr>
          <w:rFonts w:cs="Arial"/>
        </w:rPr>
        <w:t xml:space="preserve"> zastosowanie układu 2-kolumnowego EPUROTECH 52/425 DE (Duplex), w którym w</w:t>
      </w:r>
      <w:r>
        <w:rPr>
          <w:rFonts w:cs="Arial"/>
        </w:rPr>
        <w:t> </w:t>
      </w:r>
      <w:r w:rsidRPr="00931DB5">
        <w:rPr>
          <w:rFonts w:cs="Arial"/>
        </w:rPr>
        <w:t xml:space="preserve">zależności od chwilowego rozbioru wody w pracy równoległej będzie jedna lub dwie kolumny. Podczas małego rozbioru wody jedna kolumna jest w pracy a druga pozostaje w trybie regeneracji lub oczekiwania na pracę. Pojedynczy filtr jest zbiornikiem wykonanym z tworzywa sztucznego wzmocnionego włóknem szklanym wypełnionym </w:t>
      </w:r>
      <w:proofErr w:type="spellStart"/>
      <w:r w:rsidRPr="00931DB5">
        <w:rPr>
          <w:rFonts w:cs="Arial"/>
        </w:rPr>
        <w:t>monodyspersyjną</w:t>
      </w:r>
      <w:proofErr w:type="spellEnd"/>
      <w:r w:rsidRPr="00931DB5">
        <w:rPr>
          <w:rFonts w:cs="Arial"/>
        </w:rPr>
        <w:t xml:space="preserve"> żywicą jonowymienną. W</w:t>
      </w:r>
      <w:r>
        <w:rPr>
          <w:rFonts w:cs="Arial"/>
        </w:rPr>
        <w:t> </w:t>
      </w:r>
      <w:r w:rsidRPr="00931DB5">
        <w:rPr>
          <w:rFonts w:cs="Arial"/>
        </w:rPr>
        <w:t>pojedynczej kolumnie znajdować się będzie 425</w:t>
      </w:r>
      <w:r>
        <w:rPr>
          <w:rFonts w:cs="Arial"/>
        </w:rPr>
        <w:t> </w:t>
      </w:r>
      <w:r w:rsidRPr="00931DB5">
        <w:rPr>
          <w:rFonts w:cs="Arial"/>
        </w:rPr>
        <w:t>l złoża. Praca filtra jest w</w:t>
      </w:r>
      <w:r>
        <w:rPr>
          <w:rFonts w:cs="Arial"/>
        </w:rPr>
        <w:t> </w:t>
      </w:r>
      <w:r w:rsidRPr="00931DB5">
        <w:rPr>
          <w:rFonts w:cs="Arial"/>
        </w:rPr>
        <w:t>pełni zautomatyzowana poprzez działanie głowic i elektronicznego sterownika.</w:t>
      </w:r>
      <w:r>
        <w:rPr>
          <w:rFonts w:cs="Arial"/>
        </w:rPr>
        <w:t xml:space="preserve"> </w:t>
      </w:r>
      <w:r w:rsidRPr="00931DB5">
        <w:rPr>
          <w:rFonts w:cs="Arial"/>
        </w:rPr>
        <w:t>W celu uzyskania wypadkowej twardości wody na poziomie 3</w:t>
      </w:r>
      <w:r>
        <w:rPr>
          <w:rFonts w:cs="Arial"/>
        </w:rPr>
        <w:t> - </w:t>
      </w:r>
      <w:r w:rsidRPr="00931DB5">
        <w:rPr>
          <w:rFonts w:cs="Arial"/>
        </w:rPr>
        <w:t>4</w:t>
      </w:r>
      <w:r>
        <w:rPr>
          <w:rFonts w:cs="Arial"/>
        </w:rPr>
        <w:t> </w:t>
      </w:r>
      <w:r w:rsidRPr="00931DB5">
        <w:rPr>
          <w:rFonts w:cs="Arial"/>
          <w:vertAlign w:val="superscript"/>
        </w:rPr>
        <w:t>0</w:t>
      </w:r>
      <w:r w:rsidRPr="00931DB5">
        <w:rPr>
          <w:rFonts w:cs="Arial"/>
        </w:rPr>
        <w:t xml:space="preserve">dH system zmiękczana zostanie wyposażony w zawór do </w:t>
      </w:r>
      <w:proofErr w:type="spellStart"/>
      <w:r w:rsidRPr="00931DB5">
        <w:rPr>
          <w:rFonts w:cs="Arial"/>
        </w:rPr>
        <w:t>proporcjonalej</w:t>
      </w:r>
      <w:proofErr w:type="spellEnd"/>
      <w:r w:rsidRPr="00931DB5">
        <w:rPr>
          <w:rFonts w:cs="Arial"/>
        </w:rPr>
        <w:t xml:space="preserve"> regulacji twardości EPUROMIX DN50 z możliwością blokady nastaw, montowany na by-pasie stacji.</w:t>
      </w:r>
    </w:p>
    <w:p w14:paraId="7B881E48" w14:textId="77777777" w:rsidR="00931DB5" w:rsidRPr="00605AB0" w:rsidRDefault="00931DB5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</w:rPr>
      </w:pPr>
    </w:p>
    <w:p w14:paraId="42AB1AA8" w14:textId="2FFE9769" w:rsidR="00087718" w:rsidRPr="00955CC8" w:rsidRDefault="00087718" w:rsidP="00084C89">
      <w:pPr>
        <w:pStyle w:val="Akapitzlist"/>
        <w:numPr>
          <w:ilvl w:val="1"/>
          <w:numId w:val="5"/>
        </w:numPr>
        <w:suppressAutoHyphens/>
        <w:spacing w:line="276" w:lineRule="auto"/>
        <w:jc w:val="both"/>
        <w:rPr>
          <w:rFonts w:cs="Arial"/>
          <w:u w:val="single"/>
        </w:rPr>
      </w:pPr>
      <w:r w:rsidRPr="00955CC8">
        <w:rPr>
          <w:rFonts w:cs="Arial"/>
          <w:u w:val="single"/>
        </w:rPr>
        <w:t>Zawór regulacyjny z zaworem pływakowym C701 firmy SOCLA</w:t>
      </w:r>
    </w:p>
    <w:p w14:paraId="5503564F" w14:textId="7C12F341" w:rsidR="00931DB5" w:rsidRDefault="00931DB5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7E0B0DA7" w14:textId="7925DC19" w:rsidR="00931DB5" w:rsidRDefault="00955CC8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  <w:r>
        <w:rPr>
          <w:rFonts w:cs="Arial"/>
        </w:rPr>
        <w:t xml:space="preserve">Zawór regulacyjny wyposażony w zawór pływakowy ma za zadanie utrzymywać stały poziom wody w projektowanym zbiorniku i zapobiegać jego przelaniu przy wykorzystaniu pływakowego zaworu sterującego. Dobrany zawór utrzymuje zwierciadło wody na względnie stałym poziomie. Dobrano zawór regulacyjny o średnicy DN80. Zalecany jest montaż filtra siatkowego przed zaworem, dlatego przewiduje się zastosowanie filtra DN80. </w:t>
      </w:r>
    </w:p>
    <w:p w14:paraId="598F6C2F" w14:textId="4EC681BC" w:rsidR="00087718" w:rsidRDefault="00087718" w:rsidP="00084C89">
      <w:pPr>
        <w:pStyle w:val="Akapitzlist"/>
        <w:numPr>
          <w:ilvl w:val="1"/>
          <w:numId w:val="5"/>
        </w:numPr>
        <w:suppressAutoHyphens/>
        <w:spacing w:after="240" w:line="276" w:lineRule="auto"/>
        <w:jc w:val="both"/>
        <w:rPr>
          <w:rFonts w:cs="Arial"/>
          <w:u w:val="single"/>
        </w:rPr>
      </w:pPr>
      <w:r w:rsidRPr="00955CC8">
        <w:rPr>
          <w:rFonts w:cs="Arial"/>
          <w:u w:val="single"/>
        </w:rPr>
        <w:t xml:space="preserve">Zestaw hydroforowy 3-pompowy </w:t>
      </w:r>
      <w:proofErr w:type="spellStart"/>
      <w:r w:rsidRPr="00955CC8">
        <w:rPr>
          <w:rFonts w:cs="Arial"/>
          <w:u w:val="single"/>
        </w:rPr>
        <w:t>SiBoost</w:t>
      </w:r>
      <w:proofErr w:type="spellEnd"/>
      <w:r w:rsidRPr="00955CC8">
        <w:rPr>
          <w:rFonts w:cs="Arial"/>
          <w:u w:val="single"/>
        </w:rPr>
        <w:t xml:space="preserve"> Smart 3 </w:t>
      </w:r>
      <w:proofErr w:type="spellStart"/>
      <w:r w:rsidRPr="00955CC8">
        <w:rPr>
          <w:rFonts w:cs="Arial"/>
          <w:u w:val="single"/>
        </w:rPr>
        <w:t>Helix</w:t>
      </w:r>
      <w:proofErr w:type="spellEnd"/>
      <w:r w:rsidRPr="00955CC8">
        <w:rPr>
          <w:rFonts w:cs="Arial"/>
          <w:u w:val="single"/>
        </w:rPr>
        <w:t xml:space="preserve"> VE 1006 firmy </w:t>
      </w:r>
      <w:proofErr w:type="spellStart"/>
      <w:r w:rsidRPr="00955CC8">
        <w:rPr>
          <w:rFonts w:cs="Arial"/>
          <w:u w:val="single"/>
        </w:rPr>
        <w:t>Wilo</w:t>
      </w:r>
      <w:proofErr w:type="spellEnd"/>
    </w:p>
    <w:p w14:paraId="306BDF9E" w14:textId="77777777" w:rsidR="003E4BF1" w:rsidRPr="00955CC8" w:rsidRDefault="003E4BF1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  <w:u w:val="single"/>
        </w:rPr>
      </w:pPr>
    </w:p>
    <w:p w14:paraId="2C2B8F8A" w14:textId="62133EE6" w:rsidR="00690386" w:rsidRDefault="00950FC0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  <w:r>
        <w:rPr>
          <w:rFonts w:cs="Arial"/>
        </w:rPr>
        <w:t>W pomieszczeniu dotychczasowego archiwum n</w:t>
      </w:r>
      <w:r w:rsidRPr="00950FC0">
        <w:rPr>
          <w:rFonts w:cs="Arial"/>
        </w:rPr>
        <w:t xml:space="preserve">ależy zamontować zestaw hydroforowy </w:t>
      </w:r>
      <w:r>
        <w:rPr>
          <w:rFonts w:cs="Arial"/>
        </w:rPr>
        <w:t>3</w:t>
      </w:r>
      <w:r w:rsidRPr="00950FC0">
        <w:rPr>
          <w:rFonts w:cs="Arial"/>
        </w:rPr>
        <w:t xml:space="preserve">-pompowy (układ: </w:t>
      </w:r>
      <w:r>
        <w:rPr>
          <w:rFonts w:cs="Arial"/>
        </w:rPr>
        <w:t>2</w:t>
      </w:r>
      <w:r w:rsidRPr="00950FC0">
        <w:rPr>
          <w:rFonts w:cs="Arial"/>
        </w:rPr>
        <w:t xml:space="preserve"> praca + 1 rezerwa) </w:t>
      </w:r>
      <w:proofErr w:type="spellStart"/>
      <w:r w:rsidRPr="00950FC0">
        <w:rPr>
          <w:rFonts w:cs="Arial"/>
        </w:rPr>
        <w:t>SiBoost</w:t>
      </w:r>
      <w:proofErr w:type="spellEnd"/>
      <w:r w:rsidRPr="00950FC0">
        <w:rPr>
          <w:rFonts w:cs="Arial"/>
        </w:rPr>
        <w:t xml:space="preserve"> Smart 3 </w:t>
      </w:r>
      <w:proofErr w:type="spellStart"/>
      <w:r w:rsidRPr="00950FC0">
        <w:rPr>
          <w:rFonts w:cs="Arial"/>
        </w:rPr>
        <w:t>Helix</w:t>
      </w:r>
      <w:proofErr w:type="spellEnd"/>
      <w:r w:rsidRPr="00950FC0">
        <w:rPr>
          <w:rFonts w:cs="Arial"/>
        </w:rPr>
        <w:t xml:space="preserve"> VE 1006 dobrany na punkt pracy: Q</w:t>
      </w:r>
      <w:r w:rsidR="00751934">
        <w:rPr>
          <w:rFonts w:cs="Arial"/>
        </w:rPr>
        <w:t> </w:t>
      </w:r>
      <w:r w:rsidRPr="00950FC0">
        <w:rPr>
          <w:rFonts w:cs="Arial"/>
        </w:rPr>
        <w:t>=</w:t>
      </w:r>
      <w:r w:rsidR="00751934">
        <w:rPr>
          <w:rFonts w:cs="Arial"/>
        </w:rPr>
        <w:t> </w:t>
      </w:r>
      <w:r w:rsidRPr="00950FC0">
        <w:rPr>
          <w:rFonts w:cs="Arial"/>
        </w:rPr>
        <w:t>7</w:t>
      </w:r>
      <w:r w:rsidR="00751934">
        <w:rPr>
          <w:rFonts w:cs="Arial"/>
        </w:rPr>
        <w:t> dm</w:t>
      </w:r>
      <w:r w:rsidR="00751934" w:rsidRPr="00751934">
        <w:rPr>
          <w:rFonts w:cs="Arial"/>
          <w:vertAlign w:val="superscript"/>
        </w:rPr>
        <w:t>3</w:t>
      </w:r>
      <w:r w:rsidRPr="00950FC0">
        <w:rPr>
          <w:rFonts w:cs="Arial"/>
        </w:rPr>
        <w:t xml:space="preserve">/s H= 45 m. Pomieszczenie techniczne, w którym zostanie zamontowany zestaw hydroforowy należy wydzielić jako odrębna strefa pożarowa elementami oddzielenia przeciwpożarowego (ściany i strop), o klasie odporności ogniowej REI 120 oraz drzwiami o klasie odporności ogniowej EI 60. </w:t>
      </w:r>
      <w:r w:rsidR="00751934" w:rsidRPr="00751934">
        <w:rPr>
          <w:rFonts w:cs="Arial"/>
        </w:rPr>
        <w:t>Z</w:t>
      </w:r>
      <w:r w:rsidR="00751934" w:rsidRPr="00751934">
        <w:rPr>
          <w:rFonts w:cs="Arial"/>
        </w:rPr>
        <w:t>estaw wyposażony</w:t>
      </w:r>
      <w:r w:rsidR="00751934">
        <w:rPr>
          <w:rFonts w:cs="Arial"/>
        </w:rPr>
        <w:t xml:space="preserve"> jest </w:t>
      </w:r>
      <w:r w:rsidR="00751934" w:rsidRPr="00751934">
        <w:rPr>
          <w:rFonts w:cs="Arial"/>
        </w:rPr>
        <w:t>w nadrzędny sterownik, który umożliwia: pracę w dwóch trybach: stałe ciśnienie p-c lub zmienne ciśnienie p-v zależne od przepływu, celem zapewnienia redukcji zużycia energii elektrycznej oraz skoków ciśnienia w instalacji przy małych rozbiorach</w:t>
      </w:r>
      <w:r w:rsidR="00751934">
        <w:rPr>
          <w:rFonts w:cs="Arial"/>
        </w:rPr>
        <w:t xml:space="preserve">. </w:t>
      </w:r>
      <w:r w:rsidRPr="00950FC0">
        <w:rPr>
          <w:rFonts w:cs="Arial"/>
        </w:rPr>
        <w:t xml:space="preserve">Zasilanie zestawu hydroforowego należy doprowadzić przewodem ognioochronnym PH 90, sprzed przeciwpożarowego wyłącznika prądu. Zestaw hydroforowy należy wyposażyć w układ pomiarowy o wydajności zestawu. Dobrano układ pomiarowy UP 80 firmy </w:t>
      </w:r>
      <w:proofErr w:type="spellStart"/>
      <w:r w:rsidRPr="00950FC0">
        <w:rPr>
          <w:rFonts w:cs="Arial"/>
        </w:rPr>
        <w:t>Wilo</w:t>
      </w:r>
      <w:proofErr w:type="spellEnd"/>
      <w:r w:rsidRPr="00950FC0">
        <w:rPr>
          <w:rFonts w:cs="Arial"/>
        </w:rPr>
        <w:t xml:space="preserve">. Dodatkowo w pomieszczeniu należy zabudować studnię o średnicy Ø1000, z pompą zatapialną o wydajności zestawu hydroforowego. Dobrano pompę zatapialną </w:t>
      </w:r>
      <w:proofErr w:type="spellStart"/>
      <w:r w:rsidRPr="00950FC0">
        <w:rPr>
          <w:rFonts w:cs="Arial"/>
        </w:rPr>
        <w:t>Wilo-Drain</w:t>
      </w:r>
      <w:proofErr w:type="spellEnd"/>
      <w:r w:rsidRPr="00950FC0">
        <w:rPr>
          <w:rFonts w:cs="Arial"/>
        </w:rPr>
        <w:t xml:space="preserve"> </w:t>
      </w:r>
      <w:r w:rsidR="00751934">
        <w:rPr>
          <w:rFonts w:cs="Arial"/>
        </w:rPr>
        <w:t>TS-50 H122/15</w:t>
      </w:r>
      <w:r w:rsidRPr="00950FC0">
        <w:rPr>
          <w:rFonts w:cs="Arial"/>
        </w:rPr>
        <w:t xml:space="preserve"> o wydajności Q</w:t>
      </w:r>
      <w:r w:rsidR="00751934">
        <w:rPr>
          <w:rFonts w:cs="Arial"/>
        </w:rPr>
        <w:t> </w:t>
      </w:r>
      <w:r w:rsidRPr="00950FC0">
        <w:rPr>
          <w:rFonts w:cs="Arial"/>
        </w:rPr>
        <w:t>=</w:t>
      </w:r>
      <w:r w:rsidR="00751934">
        <w:rPr>
          <w:rFonts w:cs="Arial"/>
        </w:rPr>
        <w:t> 25 </w:t>
      </w:r>
      <w:r w:rsidRPr="00950FC0">
        <w:rPr>
          <w:rFonts w:cs="Arial"/>
        </w:rPr>
        <w:t>m</w:t>
      </w:r>
      <w:r w:rsidRPr="00751934">
        <w:rPr>
          <w:rFonts w:cs="Arial"/>
          <w:vertAlign w:val="superscript"/>
        </w:rPr>
        <w:t>3</w:t>
      </w:r>
      <w:r w:rsidRPr="00950FC0">
        <w:rPr>
          <w:rFonts w:cs="Arial"/>
        </w:rPr>
        <w:t>/h. Przepompowywane ścieki należy odprowadzić do najbliższej istniejącej kanalizacji sanitarnej za pomocą rury Ø</w:t>
      </w:r>
      <w:r w:rsidR="00751934">
        <w:rPr>
          <w:rFonts w:cs="Arial"/>
        </w:rPr>
        <w:t>5</w:t>
      </w:r>
      <w:r w:rsidRPr="00950FC0">
        <w:rPr>
          <w:rFonts w:cs="Arial"/>
        </w:rPr>
        <w:t>0PE. Za zestawem hydroforowym i układem pomiarowym projektuje się doprowadzenie wody przewodami stalowymi ocynkowanymi DN</w:t>
      </w:r>
      <w:r w:rsidR="00751934">
        <w:rPr>
          <w:rFonts w:cs="Arial"/>
        </w:rPr>
        <w:t>80</w:t>
      </w:r>
      <w:r w:rsidRPr="00950FC0">
        <w:rPr>
          <w:rFonts w:cs="Arial"/>
        </w:rPr>
        <w:t xml:space="preserve"> i wykonanie instalacji na cele </w:t>
      </w:r>
      <w:r w:rsidR="00751934">
        <w:rPr>
          <w:rFonts w:cs="Arial"/>
        </w:rPr>
        <w:t>bytowe</w:t>
      </w:r>
      <w:r w:rsidRPr="00950FC0">
        <w:rPr>
          <w:rFonts w:cs="Arial"/>
        </w:rPr>
        <w:t xml:space="preserve"> (</w:t>
      </w:r>
      <w:r w:rsidR="00751934">
        <w:rPr>
          <w:rFonts w:cs="Arial"/>
        </w:rPr>
        <w:t>wg odrębnego opracowania)</w:t>
      </w:r>
      <w:r w:rsidRPr="00950FC0">
        <w:rPr>
          <w:rFonts w:cs="Arial"/>
        </w:rPr>
        <w:t>.</w:t>
      </w:r>
    </w:p>
    <w:p w14:paraId="2E331ABA" w14:textId="77777777" w:rsidR="0045266D" w:rsidRPr="0045266D" w:rsidRDefault="0045266D" w:rsidP="00084C89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8" w:name="_Toc336931296"/>
      <w:bookmarkStart w:id="9" w:name="_Toc101530714"/>
      <w:r w:rsidRPr="0045266D">
        <w:rPr>
          <w:rFonts w:ascii="Arial" w:hAnsi="Arial" w:cs="Arial"/>
          <w:color w:val="auto"/>
        </w:rPr>
        <w:t>Przewody</w:t>
      </w:r>
      <w:bookmarkEnd w:id="8"/>
      <w:bookmarkEnd w:id="9"/>
    </w:p>
    <w:p w14:paraId="67EEEC80" w14:textId="532716ED" w:rsidR="0045266D" w:rsidRPr="0045266D" w:rsidRDefault="0045266D" w:rsidP="00084C89">
      <w:pPr>
        <w:pStyle w:val="Akapitzlist"/>
        <w:numPr>
          <w:ilvl w:val="1"/>
          <w:numId w:val="5"/>
        </w:numPr>
        <w:suppressAutoHyphens/>
        <w:spacing w:after="240" w:line="276" w:lineRule="auto"/>
        <w:jc w:val="both"/>
        <w:rPr>
          <w:rFonts w:cs="Arial"/>
          <w:sz w:val="28"/>
          <w:szCs w:val="28"/>
          <w:u w:val="single"/>
        </w:rPr>
      </w:pPr>
      <w:bookmarkStart w:id="10" w:name="_Toc336931297"/>
      <w:r w:rsidRPr="0045266D">
        <w:rPr>
          <w:rFonts w:cs="Arial"/>
          <w:sz w:val="28"/>
          <w:szCs w:val="28"/>
          <w:u w:val="single"/>
        </w:rPr>
        <w:t>Przewody stalowe</w:t>
      </w:r>
      <w:bookmarkEnd w:id="10"/>
    </w:p>
    <w:p w14:paraId="1DA75C17" w14:textId="77777777" w:rsidR="0045266D" w:rsidRPr="0045266D" w:rsidRDefault="0045266D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  <w:u w:val="single"/>
        </w:rPr>
      </w:pPr>
    </w:p>
    <w:p w14:paraId="4B863AD8" w14:textId="50DC01D1" w:rsidR="0045266D" w:rsidRDefault="0045266D" w:rsidP="00001F3B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  <w:r>
        <w:rPr>
          <w:rFonts w:cs="Arial"/>
        </w:rPr>
        <w:t xml:space="preserve">Przewody w obrębie </w:t>
      </w:r>
      <w:r w:rsidR="003F36B0">
        <w:rPr>
          <w:rFonts w:cs="Arial"/>
        </w:rPr>
        <w:t>projektowanych pomieszczeń</w:t>
      </w:r>
      <w:r>
        <w:rPr>
          <w:rFonts w:cs="Arial"/>
        </w:rPr>
        <w:t xml:space="preserve"> należy wykonać z rur i</w:t>
      </w:r>
      <w:r w:rsidR="003F36B0">
        <w:rPr>
          <w:rFonts w:cs="Arial"/>
        </w:rPr>
        <w:t> </w:t>
      </w:r>
      <w:r>
        <w:rPr>
          <w:rFonts w:cs="Arial"/>
        </w:rPr>
        <w:t xml:space="preserve">kształtek ze stali ocynkowanej. </w:t>
      </w:r>
      <w:r w:rsidR="00001F3B" w:rsidRPr="00001F3B">
        <w:rPr>
          <w:rFonts w:cs="Arial"/>
        </w:rPr>
        <w:t>Instalację</w:t>
      </w:r>
      <w:r w:rsidR="00001F3B">
        <w:rPr>
          <w:rFonts w:cs="Arial"/>
        </w:rPr>
        <w:t xml:space="preserve"> </w:t>
      </w:r>
      <w:r w:rsidR="00001F3B" w:rsidRPr="00001F3B">
        <w:rPr>
          <w:rFonts w:cs="Arial"/>
        </w:rPr>
        <w:t>prowadzić zgodnie z załączonymi rysunkami.</w:t>
      </w:r>
      <w:r w:rsidR="00001F3B">
        <w:rPr>
          <w:rFonts w:cs="Arial"/>
        </w:rPr>
        <w:t xml:space="preserve"> </w:t>
      </w:r>
      <w:r w:rsidRPr="0045266D">
        <w:rPr>
          <w:rFonts w:cs="Arial"/>
        </w:rPr>
        <w:t>Przewody należy prowadzić ze spadkiem 3‰ w kierunku zestawu hydroforowego. Umocowania przewodów do ścian wykonać należy uchwytami podwójnymi z tworzywa sztucznego.</w:t>
      </w:r>
      <w:r w:rsidR="00001F3B">
        <w:rPr>
          <w:rFonts w:cs="Arial"/>
        </w:rPr>
        <w:t xml:space="preserve"> </w:t>
      </w:r>
      <w:r w:rsidR="00001F3B" w:rsidRPr="00001F3B">
        <w:rPr>
          <w:rFonts w:cs="Arial"/>
        </w:rPr>
        <w:t>Przechodzeniu rurociągów przez ściany muszą towarzyszyć określone warunki. Rura</w:t>
      </w:r>
      <w:r w:rsidR="00001F3B">
        <w:rPr>
          <w:rFonts w:cs="Arial"/>
        </w:rPr>
        <w:t xml:space="preserve"> </w:t>
      </w:r>
      <w:r w:rsidR="00001F3B" w:rsidRPr="00001F3B">
        <w:rPr>
          <w:rFonts w:cs="Arial"/>
        </w:rPr>
        <w:t>powinna być umieszczona w</w:t>
      </w:r>
      <w:r w:rsidR="00B00C51">
        <w:rPr>
          <w:rFonts w:cs="Arial"/>
        </w:rPr>
        <w:t> </w:t>
      </w:r>
      <w:r w:rsidR="00001F3B" w:rsidRPr="00001F3B">
        <w:rPr>
          <w:rFonts w:cs="Arial"/>
        </w:rPr>
        <w:t>obejmie z materiału nie powodującego jej uszkodzenia</w:t>
      </w:r>
      <w:r w:rsidR="00001F3B">
        <w:rPr>
          <w:rFonts w:cs="Arial"/>
        </w:rPr>
        <w:t xml:space="preserve"> </w:t>
      </w:r>
      <w:r w:rsidR="00001F3B" w:rsidRPr="00001F3B">
        <w:rPr>
          <w:rFonts w:cs="Arial"/>
        </w:rPr>
        <w:t>np. z innego tworzywa. Nie należy prowadzić rury nieosłoniętej, narażonej na styk z betonem</w:t>
      </w:r>
      <w:r w:rsidR="00001F3B">
        <w:rPr>
          <w:rFonts w:cs="Arial"/>
        </w:rPr>
        <w:t xml:space="preserve"> </w:t>
      </w:r>
      <w:r w:rsidR="00001F3B" w:rsidRPr="00001F3B">
        <w:rPr>
          <w:rFonts w:cs="Arial"/>
        </w:rPr>
        <w:t>a tym samym uszkodzenia jej powierzchni przez różne chropowatości betonu podczas pracy</w:t>
      </w:r>
      <w:r w:rsidR="00B00C51">
        <w:rPr>
          <w:rFonts w:cs="Arial"/>
        </w:rPr>
        <w:t xml:space="preserve"> </w:t>
      </w:r>
      <w:r w:rsidR="00001F3B" w:rsidRPr="00001F3B">
        <w:rPr>
          <w:rFonts w:cs="Arial"/>
        </w:rPr>
        <w:t>rury. Z tych samych względów nie należy umieszczać rury w osłonie (innej</w:t>
      </w:r>
      <w:r w:rsidR="00001F3B">
        <w:rPr>
          <w:rFonts w:cs="Arial"/>
        </w:rPr>
        <w:t xml:space="preserve"> </w:t>
      </w:r>
      <w:r w:rsidR="00001F3B" w:rsidRPr="00001F3B">
        <w:rPr>
          <w:rFonts w:cs="Arial"/>
        </w:rPr>
        <w:t>rurze) z metalu.</w:t>
      </w:r>
    </w:p>
    <w:p w14:paraId="233E919C" w14:textId="3264C99E" w:rsidR="00B00C51" w:rsidRDefault="00B00C51" w:rsidP="00001F3B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5F9771DC" w14:textId="4FF7FF5B" w:rsidR="00B00C51" w:rsidRDefault="00B00C51" w:rsidP="00001F3B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780C1840" w14:textId="030B596C" w:rsidR="00B00C51" w:rsidRDefault="00B00C51" w:rsidP="00001F3B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6572359C" w14:textId="77777777" w:rsidR="00B00C51" w:rsidRPr="00001F3B" w:rsidRDefault="00B00C51" w:rsidP="00001F3B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720630F2" w14:textId="77777777" w:rsidR="00084C89" w:rsidRPr="0045266D" w:rsidRDefault="00084C89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6B4B7BCC" w14:textId="069EA5E6" w:rsidR="0045266D" w:rsidRPr="0045266D" w:rsidRDefault="0045266D" w:rsidP="00084C89">
      <w:pPr>
        <w:pStyle w:val="Akapitzlist"/>
        <w:numPr>
          <w:ilvl w:val="1"/>
          <w:numId w:val="5"/>
        </w:numPr>
        <w:suppressAutoHyphens/>
        <w:spacing w:after="240" w:line="276" w:lineRule="auto"/>
        <w:jc w:val="both"/>
        <w:rPr>
          <w:rFonts w:cs="Arial"/>
          <w:sz w:val="28"/>
          <w:szCs w:val="28"/>
          <w:u w:val="single"/>
        </w:rPr>
      </w:pPr>
      <w:bookmarkStart w:id="11" w:name="_Toc336931299"/>
      <w:r w:rsidRPr="0045266D">
        <w:rPr>
          <w:rFonts w:cs="Arial"/>
          <w:sz w:val="28"/>
          <w:szCs w:val="28"/>
          <w:u w:val="single"/>
        </w:rPr>
        <w:t>Próba ciśnienia</w:t>
      </w:r>
      <w:bookmarkEnd w:id="11"/>
    </w:p>
    <w:p w14:paraId="0F4F227A" w14:textId="77777777" w:rsidR="0045266D" w:rsidRPr="0045266D" w:rsidRDefault="0045266D" w:rsidP="00084C89">
      <w:pPr>
        <w:pStyle w:val="Akapitzlist"/>
        <w:suppressAutoHyphens/>
        <w:spacing w:after="240" w:line="276" w:lineRule="auto"/>
        <w:ind w:left="792"/>
        <w:jc w:val="both"/>
        <w:rPr>
          <w:rFonts w:cs="Arial"/>
          <w:u w:val="single"/>
        </w:rPr>
      </w:pPr>
    </w:p>
    <w:p w14:paraId="2B2A9429" w14:textId="77777777" w:rsidR="0045266D" w:rsidRPr="008448A6" w:rsidRDefault="0045266D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  <w:r>
        <w:rPr>
          <w:rFonts w:cs="Arial"/>
        </w:rPr>
        <w:t xml:space="preserve">Wszystkie rurociągi muszą przejść, </w:t>
      </w:r>
      <w:proofErr w:type="spellStart"/>
      <w:r>
        <w:rPr>
          <w:rFonts w:cs="Arial"/>
        </w:rPr>
        <w:t>pozamontowaniu</w:t>
      </w:r>
      <w:proofErr w:type="spellEnd"/>
      <w:r>
        <w:rPr>
          <w:rFonts w:cs="Arial"/>
        </w:rPr>
        <w:t xml:space="preserve"> lecz przed</w:t>
      </w:r>
      <w:r w:rsidRPr="008448A6">
        <w:rPr>
          <w:rFonts w:cs="Arial"/>
        </w:rPr>
        <w:t xml:space="preserve"> przykryciem</w:t>
      </w:r>
      <w:r>
        <w:rPr>
          <w:rFonts w:cs="Arial"/>
        </w:rPr>
        <w:t xml:space="preserve"> otulinami </w:t>
      </w:r>
      <w:proofErr w:type="spellStart"/>
      <w:r>
        <w:rPr>
          <w:rFonts w:cs="Arial"/>
        </w:rPr>
        <w:t>termoizolacyjnymi,test</w:t>
      </w:r>
      <w:proofErr w:type="spellEnd"/>
      <w:r>
        <w:rPr>
          <w:rFonts w:cs="Arial"/>
        </w:rPr>
        <w:t xml:space="preserve"> na szczelność. Wartość ciśnienia przy próbie ciśnieniowej powinna być 1,5raza większa niż ciśnienie robocze. Próba ta polega na dwukrotnym podniesieniu ciśnienia do ciśnienia próbnego na okres 10minut. Odstęp między pierwszą, a</w:t>
      </w:r>
      <w:r w:rsidRPr="008448A6">
        <w:rPr>
          <w:rFonts w:cs="Arial"/>
        </w:rPr>
        <w:t xml:space="preserve"> d</w:t>
      </w:r>
      <w:r>
        <w:rPr>
          <w:rFonts w:cs="Arial"/>
        </w:rPr>
        <w:t>rugą próbą powinien wynosić</w:t>
      </w:r>
      <w:r w:rsidRPr="008448A6">
        <w:rPr>
          <w:rFonts w:cs="Arial"/>
        </w:rPr>
        <w:t xml:space="preserve"> 30min.</w:t>
      </w:r>
    </w:p>
    <w:p w14:paraId="1B82B6AC" w14:textId="4A2C8643" w:rsidR="0045266D" w:rsidRDefault="0045266D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  <w:r>
        <w:rPr>
          <w:rFonts w:cs="Arial"/>
        </w:rPr>
        <w:t>Próba musi wykazać absolutną szczelność instalacji, a dopuszczalny spadek ciśnienia wynosi 0,6</w:t>
      </w:r>
      <w:r w:rsidR="00084C89">
        <w:rPr>
          <w:rFonts w:cs="Arial"/>
        </w:rPr>
        <w:t> </w:t>
      </w:r>
      <w:proofErr w:type="spellStart"/>
      <w:r>
        <w:rPr>
          <w:rFonts w:cs="Arial"/>
        </w:rPr>
        <w:t>bara</w:t>
      </w:r>
      <w:proofErr w:type="spellEnd"/>
      <w:r>
        <w:rPr>
          <w:rFonts w:cs="Arial"/>
        </w:rPr>
        <w:t xml:space="preserve">. Próbę </w:t>
      </w:r>
      <w:r w:rsidRPr="008448A6">
        <w:rPr>
          <w:rFonts w:cs="Arial"/>
        </w:rPr>
        <w:t>t</w:t>
      </w:r>
      <w:r>
        <w:rPr>
          <w:rFonts w:cs="Arial"/>
        </w:rPr>
        <w:t>ą nazywamy próbą wstępną. Próba główna trwa 2 godziny przy ciśnieniu próbnym jak</w:t>
      </w:r>
      <w:r w:rsidRPr="008448A6">
        <w:rPr>
          <w:rFonts w:cs="Arial"/>
        </w:rPr>
        <w:t xml:space="preserve"> wyżej</w:t>
      </w:r>
      <w:r>
        <w:rPr>
          <w:rFonts w:cs="Arial"/>
        </w:rPr>
        <w:t xml:space="preserve"> i spadek ciśnienia po tym czasie nie może przekroczyć </w:t>
      </w:r>
      <w:r w:rsidRPr="008448A6">
        <w:rPr>
          <w:rFonts w:cs="Arial"/>
        </w:rPr>
        <w:t>0,2</w:t>
      </w:r>
      <w:r w:rsidR="00084C89">
        <w:rPr>
          <w:rFonts w:cs="Arial"/>
        </w:rPr>
        <w:t> </w:t>
      </w:r>
      <w:proofErr w:type="spellStart"/>
      <w:r w:rsidRPr="008448A6">
        <w:rPr>
          <w:rFonts w:cs="Arial"/>
        </w:rPr>
        <w:t>b</w:t>
      </w:r>
      <w:r>
        <w:rPr>
          <w:rFonts w:cs="Arial"/>
        </w:rPr>
        <w:t>ara</w:t>
      </w:r>
      <w:proofErr w:type="spellEnd"/>
      <w:r>
        <w:rPr>
          <w:rFonts w:cs="Arial"/>
        </w:rPr>
        <w:t>. Oczywiste jest, że ani</w:t>
      </w:r>
      <w:r w:rsidR="003F36B0">
        <w:rPr>
          <w:rFonts w:cs="Arial"/>
        </w:rPr>
        <w:t xml:space="preserve"> </w:t>
      </w:r>
      <w:r>
        <w:rPr>
          <w:rFonts w:cs="Arial"/>
        </w:rPr>
        <w:t>w czasie próby wstępnej ani głównej nie może wystąpić żaden</w:t>
      </w:r>
      <w:r w:rsidRPr="008448A6">
        <w:rPr>
          <w:rFonts w:cs="Arial"/>
        </w:rPr>
        <w:t xml:space="preserve"> przeciek</w:t>
      </w:r>
      <w:r>
        <w:rPr>
          <w:rFonts w:cs="Arial"/>
        </w:rPr>
        <w:t>. Ważne, aby w czasie próby</w:t>
      </w:r>
      <w:r w:rsidRPr="008448A6">
        <w:rPr>
          <w:rFonts w:cs="Arial"/>
        </w:rPr>
        <w:t xml:space="preserve"> tempe</w:t>
      </w:r>
      <w:r>
        <w:rPr>
          <w:rFonts w:cs="Arial"/>
        </w:rPr>
        <w:t xml:space="preserve">ratura wody nie uległa zmianie, </w:t>
      </w:r>
      <w:r w:rsidRPr="008448A6">
        <w:rPr>
          <w:rFonts w:cs="Arial"/>
        </w:rPr>
        <w:t>g</w:t>
      </w:r>
      <w:r>
        <w:rPr>
          <w:rFonts w:cs="Arial"/>
        </w:rPr>
        <w:t xml:space="preserve">dyż może </w:t>
      </w:r>
      <w:r w:rsidR="00084C89">
        <w:rPr>
          <w:rFonts w:cs="Arial"/>
        </w:rPr>
        <w:t>s</w:t>
      </w:r>
      <w:r>
        <w:rPr>
          <w:rFonts w:cs="Arial"/>
        </w:rPr>
        <w:t>fałszować</w:t>
      </w:r>
      <w:r w:rsidRPr="008448A6">
        <w:rPr>
          <w:rFonts w:cs="Arial"/>
        </w:rPr>
        <w:t xml:space="preserve"> wynik.</w:t>
      </w:r>
    </w:p>
    <w:p w14:paraId="75B19EC7" w14:textId="77777777" w:rsidR="00D25B65" w:rsidRPr="00D25B65" w:rsidRDefault="00D25B65" w:rsidP="00D25B65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12" w:name="_Toc335998750"/>
      <w:bookmarkStart w:id="13" w:name="_Toc336931301"/>
      <w:bookmarkStart w:id="14" w:name="_Toc101530715"/>
      <w:r w:rsidRPr="00D25B65">
        <w:rPr>
          <w:rFonts w:ascii="Arial" w:hAnsi="Arial" w:cs="Arial"/>
          <w:color w:val="auto"/>
        </w:rPr>
        <w:t>Ogólne warunki odbioru i wykonania robót</w:t>
      </w:r>
      <w:bookmarkEnd w:id="12"/>
      <w:bookmarkEnd w:id="13"/>
      <w:bookmarkEnd w:id="14"/>
    </w:p>
    <w:p w14:paraId="61D7D5D9" w14:textId="15CF49FB" w:rsidR="00D25B65" w:rsidRDefault="00D25B65" w:rsidP="00D25B65">
      <w:pPr>
        <w:suppressAutoHyphens/>
        <w:jc w:val="both"/>
        <w:rPr>
          <w:rFonts w:ascii="Arial" w:hAnsi="Arial" w:cs="Arial"/>
          <w:sz w:val="24"/>
          <w:szCs w:val="24"/>
        </w:rPr>
      </w:pPr>
      <w:r w:rsidRPr="00D25B65">
        <w:rPr>
          <w:rFonts w:ascii="Arial" w:hAnsi="Arial" w:cs="Arial"/>
          <w:sz w:val="24"/>
          <w:szCs w:val="24"/>
        </w:rPr>
        <w:t>Całość robót wykonać zgodnie z „Warunkami Technicznymi Wykonania i Odbioru Robót Budowlano – Montażowych, cz. II – Instalacje sanitarne i przemysłowe”. Montaż urządzeń i materiałów należy wykonać zgodnie z wytycznymi producentów urządzeń i</w:t>
      </w:r>
      <w:r>
        <w:rPr>
          <w:rFonts w:ascii="Arial" w:hAnsi="Arial" w:cs="Arial"/>
          <w:sz w:val="24"/>
          <w:szCs w:val="24"/>
        </w:rPr>
        <w:t> </w:t>
      </w:r>
      <w:r w:rsidRPr="00D25B65">
        <w:rPr>
          <w:rFonts w:ascii="Arial" w:hAnsi="Arial" w:cs="Arial"/>
          <w:sz w:val="24"/>
          <w:szCs w:val="24"/>
        </w:rPr>
        <w:t xml:space="preserve">materiałów. Wszystkie podwieszenia i podparcia Wykonawca jest zobowiązany do opracowania i uzgodnienia z konstruktorem we własnym zakresie. </w:t>
      </w:r>
      <w:r>
        <w:rPr>
          <w:rFonts w:ascii="Arial" w:hAnsi="Arial" w:cs="Arial"/>
          <w:sz w:val="24"/>
          <w:szCs w:val="24"/>
        </w:rPr>
        <w:t xml:space="preserve"> </w:t>
      </w:r>
      <w:r w:rsidRPr="00D25B65">
        <w:rPr>
          <w:rFonts w:ascii="Arial" w:hAnsi="Arial" w:cs="Arial"/>
          <w:sz w:val="24"/>
          <w:szCs w:val="24"/>
        </w:rPr>
        <w:t>Wykonawca jest zobowiązany do opracowania i przekazania Inwestorowi instrukcji obsługi, schematów oraz DTR wykonanych instalacji i zamontowanych urządzeń. Wykonawca zawiera umowę na wykonanie instalacji kompletnej z punktu widzenia wymagań technicznych, formalnych i estetycznych, dlatego Wykonawca zobowiązany jest do ujęcia w swojej wycenie wszystkich materiałów i robót niezbędnych do prawidłowego wykonania i eksploatacji instalacji.</w:t>
      </w:r>
      <w:r>
        <w:rPr>
          <w:rFonts w:ascii="Arial" w:hAnsi="Arial" w:cs="Arial"/>
          <w:sz w:val="24"/>
          <w:szCs w:val="24"/>
        </w:rPr>
        <w:t xml:space="preserve"> </w:t>
      </w:r>
      <w:r w:rsidRPr="00D25B65">
        <w:rPr>
          <w:rFonts w:ascii="Arial" w:hAnsi="Arial" w:cs="Arial"/>
          <w:sz w:val="24"/>
          <w:szCs w:val="24"/>
        </w:rPr>
        <w:t>Wykonawca jest zobowiązany do wykonania w sposób przejrzysty, estetyczny i trwały oznaczeń na rurociągach: kierunki przepływu, oznaczenia przewodów oraz numerów sekcji. Zastosowane w obiekcie urządzenia powinny posiadać zgodnie z obowiązującymi przepisami certyfikaty lub deklaracje zgodności z normami lub aprobatami, atesty CNBOP. Pompy i zestawy pompowe muszą być oddzielone od konstrukcji wibroizolacją i od rurociągów połączeniami elastycznymi. Wszystkie zawory muszą być łatwo dostępne dla obsługi i konserwacji.</w:t>
      </w:r>
    </w:p>
    <w:p w14:paraId="4E1DD558" w14:textId="77777777" w:rsidR="00D25B65" w:rsidRPr="00D25B65" w:rsidRDefault="00D25B65" w:rsidP="00D25B65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15" w:name="_Toc80772482"/>
      <w:bookmarkStart w:id="16" w:name="_Toc101530716"/>
      <w:r w:rsidRPr="00D25B65">
        <w:rPr>
          <w:rFonts w:ascii="Arial" w:hAnsi="Arial" w:cs="Arial"/>
          <w:color w:val="auto"/>
        </w:rPr>
        <w:t>Uwagi</w:t>
      </w:r>
      <w:bookmarkEnd w:id="15"/>
      <w:bookmarkEnd w:id="16"/>
    </w:p>
    <w:p w14:paraId="19AF8156" w14:textId="29279D7F" w:rsidR="00D25B65" w:rsidRDefault="00D25B65" w:rsidP="00D25B65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81F8B">
        <w:rPr>
          <w:rFonts w:ascii="Arial" w:hAnsi="Arial" w:cs="Arial"/>
          <w:sz w:val="24"/>
          <w:szCs w:val="24"/>
        </w:rPr>
        <w:t>Przewidywana inwestycja nie stanowi zagrożenia</w:t>
      </w:r>
      <w:r>
        <w:rPr>
          <w:rFonts w:ascii="Arial" w:hAnsi="Arial" w:cs="Arial"/>
          <w:sz w:val="24"/>
          <w:szCs w:val="24"/>
        </w:rPr>
        <w:t xml:space="preserve"> i</w:t>
      </w:r>
      <w:r w:rsidRPr="00781F8B">
        <w:rPr>
          <w:rFonts w:ascii="Arial" w:hAnsi="Arial" w:cs="Arial"/>
          <w:sz w:val="24"/>
          <w:szCs w:val="24"/>
        </w:rPr>
        <w:t xml:space="preserve"> negatywnego oddziaływania na środowisko oraz zagrożenia dla higieny i zdrowia ludzi.</w:t>
      </w:r>
      <w:r>
        <w:rPr>
          <w:rFonts w:ascii="Arial" w:hAnsi="Arial" w:cs="Arial"/>
          <w:sz w:val="24"/>
          <w:szCs w:val="24"/>
        </w:rPr>
        <w:t xml:space="preserve"> </w:t>
      </w:r>
      <w:r w:rsidRPr="00781F8B">
        <w:rPr>
          <w:rFonts w:ascii="Arial" w:hAnsi="Arial" w:cs="Arial"/>
          <w:sz w:val="24"/>
          <w:szCs w:val="24"/>
        </w:rPr>
        <w:t>Po przejęciu placu budowy kierownik budowy odpowiada za bezpieczeństwo na budowie, właściwą organizację robót, prawidłową jakość robót oraz zabezpieczenie materiałów i sprzętu. Całość robót wykonać zgodnie z „Warunkami technicznymi wykonania i odbioru robót budowlano-montażowych cz. II - Instalacje sanitarne i przemysłowe” oraz obowiązującymi normami, przepisami branżowymi a w szczególności przepisami BHP.</w:t>
      </w:r>
    </w:p>
    <w:p w14:paraId="6FD1CCDA" w14:textId="6170DC46" w:rsidR="00D25B65" w:rsidRPr="00D25B65" w:rsidRDefault="00D25B65" w:rsidP="00D25B65">
      <w:pPr>
        <w:pStyle w:val="Nagwek1"/>
        <w:numPr>
          <w:ilvl w:val="0"/>
          <w:numId w:val="5"/>
        </w:numPr>
        <w:spacing w:after="240"/>
        <w:rPr>
          <w:rFonts w:ascii="Arial" w:hAnsi="Arial" w:cs="Arial"/>
          <w:color w:val="auto"/>
        </w:rPr>
      </w:pPr>
      <w:bookmarkStart w:id="17" w:name="_Toc101530717"/>
      <w:r w:rsidRPr="00D25B65">
        <w:rPr>
          <w:rFonts w:ascii="Arial" w:hAnsi="Arial" w:cs="Arial"/>
          <w:color w:val="auto"/>
        </w:rPr>
        <w:t>Zestawienie podstawowych materiałów</w:t>
      </w:r>
      <w:bookmarkEnd w:id="17"/>
    </w:p>
    <w:tbl>
      <w:tblPr>
        <w:tblW w:w="97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7088"/>
        <w:gridCol w:w="790"/>
        <w:gridCol w:w="1328"/>
      </w:tblGrid>
      <w:tr w:rsidR="00843FF0" w:rsidRPr="00A32DA8" w14:paraId="4BF10121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6786658C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14:paraId="29F28BFE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Nazwa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14:paraId="58F16AD6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Ilość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409C6C3C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Jednostka</w:t>
            </w:r>
          </w:p>
        </w:tc>
      </w:tr>
      <w:tr w:rsidR="00843FF0" w:rsidRPr="00A32DA8" w14:paraId="73A31CCB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14:paraId="77C525D4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  <w:noWrap/>
            <w:vAlign w:val="center"/>
            <w:hideMark/>
          </w:tcPr>
          <w:p w14:paraId="614923DC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Rura stalowa ocynkowana DN100</w:t>
            </w: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14:paraId="4DF193DA" w14:textId="77C87226" w:rsidR="00843FF0" w:rsidRPr="00A32DA8" w:rsidRDefault="00BE7E82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18</w:t>
            </w:r>
          </w:p>
        </w:tc>
        <w:tc>
          <w:tcPr>
            <w:tcW w:w="1328" w:type="dxa"/>
            <w:shd w:val="clear" w:color="auto" w:fill="auto"/>
            <w:noWrap/>
            <w:vAlign w:val="center"/>
            <w:hideMark/>
          </w:tcPr>
          <w:p w14:paraId="47C1DF5F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mb</w:t>
            </w:r>
            <w:proofErr w:type="spellEnd"/>
          </w:p>
        </w:tc>
      </w:tr>
      <w:tr w:rsidR="00843FF0" w:rsidRPr="00A32DA8" w14:paraId="49848B05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53949D6B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0767ED83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Rura stalowa ocynkowana DN80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90F73B0" w14:textId="5EB75DCF" w:rsidR="00843FF0" w:rsidRPr="00A32DA8" w:rsidRDefault="00BE7E82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45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20D5EA27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mb</w:t>
            </w:r>
            <w:proofErr w:type="spellEnd"/>
          </w:p>
        </w:tc>
      </w:tr>
      <w:tr w:rsidR="00843FF0" w:rsidRPr="00A32DA8" w14:paraId="66CFF0D0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7CD62923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3EF51A40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Rura stalowa ocynkowana DN50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5BFCF0E0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11B1A33C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mb</w:t>
            </w:r>
            <w:proofErr w:type="spellEnd"/>
          </w:p>
        </w:tc>
      </w:tr>
      <w:tr w:rsidR="00843FF0" w:rsidRPr="00A32DA8" w14:paraId="1D873139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5256485C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5322C15F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Zestaw hydroforowy COR-2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Helix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VF 1009/S.C.-FFS; Q=20l/s, H=47m (układ pomp: 3 praca + 1 rezerwa) firmy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</w:t>
            </w:r>
            <w:proofErr w:type="spellEnd"/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7612C14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65E501E9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843FF0" w:rsidRPr="00A32DA8" w14:paraId="1237E728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6678088F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25ED4046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Układ pomiarowy UP 80 firmy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</w:t>
            </w:r>
            <w:proofErr w:type="spellEnd"/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9C78D9B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1790346D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843FF0" w:rsidRPr="00A32DA8" w14:paraId="6B97BDFC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05ABADCB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26370A6E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Pompa zatapialna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Wilo-Drain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TP 80; Q=100m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3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/h firmy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</w:t>
            </w:r>
            <w:proofErr w:type="spellEnd"/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2897F4F4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689D0A0F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31A4B98D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376052E6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05592031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Zawór odcinający DN80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734BB16" w14:textId="4EB60EF1" w:rsidR="00843FF0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4CFA192D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5288AA01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176F26C6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1E2F3786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Filtr siatkowy DN80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471CEFF" w14:textId="6AC7A51D" w:rsidR="00843FF0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6D1ED2C4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78CC18E7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5FEECB7E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67018686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Zawór zwrotny DN80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092B625" w14:textId="5931B3C0" w:rsidR="00843FF0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57627FC2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4153732A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48E4578B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7AFF529F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Zawór pierwszeństwa DN50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3011A9E1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30AEE9FE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5A8A229F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3975ED72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7C230A6C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Zawór odcinający DN50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6753D388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15E703D1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0C657CC5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005F025C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12.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57EA39AB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Filtr siatkowy DN50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4FB34271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2B08D1CD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1B9CAF40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2C703622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13.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67D98267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Zawór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antyskażeniowy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typu BA DN40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E6C9145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460DD477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843FF0" w:rsidRPr="00A32DA8" w14:paraId="5CCBA070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64FBF1CE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14.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30785796" w14:textId="77777777" w:rsidR="00843FF0" w:rsidRPr="00A32DA8" w:rsidRDefault="00843FF0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Zawór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antyskażeniowy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typu BA DN100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3C4D09D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0083D694" w14:textId="77777777" w:rsidR="00843FF0" w:rsidRPr="00A32DA8" w:rsidRDefault="00843FF0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A5110C" w:rsidRPr="00A32DA8" w14:paraId="236EC3B6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4F050254" w14:textId="440A4C3A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15.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0E372317" w14:textId="4C8172F5" w:rsidR="00A5110C" w:rsidRPr="00A32DA8" w:rsidRDefault="00A5110C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Zawór regulacyjny DN80 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 pływakowym zaworem sterującym SOCLA C701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449E346" w14:textId="07F0A6EE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51A0DDEE" w14:textId="030B4AD8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A5110C" w:rsidRPr="00A32DA8" w14:paraId="407211F8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7794C1BE" w14:textId="65C0B076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16.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20D98F56" w14:textId="482BB60B" w:rsidR="00A5110C" w:rsidRPr="00A32DA8" w:rsidRDefault="00A5110C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Kosz ssawny DN80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555C8CB7" w14:textId="4FF38FE6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5A8F2457" w14:textId="5CA0F1D1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A5110C" w:rsidRPr="00A32DA8" w14:paraId="33DF16B4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0FEBCE45" w14:textId="558719ED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17.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6454DAC5" w14:textId="517E9068" w:rsidR="00A5110C" w:rsidRPr="00A32DA8" w:rsidRDefault="00A5110C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estaw hydroforow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y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SiBoost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Smart 3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Helix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VE 1006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Q=7l/s, H=45m firmy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</w:t>
            </w:r>
            <w:proofErr w:type="spellEnd"/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2659B021" w14:textId="7F76B833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59C69F6E" w14:textId="2E13BC07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A5110C" w:rsidRPr="00A32DA8" w14:paraId="4E365BCB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0AF6FE7B" w14:textId="365243C9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18.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408D67EF" w14:textId="6F4856A1" w:rsidR="00A5110C" w:rsidRPr="00A32DA8" w:rsidRDefault="00A5110C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Układ pomiarowy UP 40 firmy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</w:t>
            </w:r>
            <w:proofErr w:type="spellEnd"/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0BD91EF5" w14:textId="4530583F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23855C65" w14:textId="5E711ABD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A5110C" w:rsidRPr="00A32DA8" w14:paraId="2D108939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15CE96EA" w14:textId="6725E51E" w:rsidR="00A5110C" w:rsidRPr="00A32DA8" w:rsidRDefault="00A5110C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19.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31803D04" w14:textId="005A5FC9" w:rsidR="00A5110C" w:rsidRPr="00A32DA8" w:rsidRDefault="00A5110C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Pompa zatapialna </w:t>
            </w: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Wilo-Drain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A32DA8" w:rsidRPr="00A32DA8">
              <w:rPr>
                <w:rFonts w:ascii="Arial" w:hAnsi="Arial" w:cs="Arial"/>
                <w:bCs/>
                <w:sz w:val="24"/>
                <w:szCs w:val="24"/>
              </w:rPr>
              <w:t>TS-50 H122/15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1FB18A29" w14:textId="26195426" w:rsidR="00A5110C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790E1A36" w14:textId="064AE149" w:rsidR="00A5110C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szt.</w:t>
            </w:r>
          </w:p>
        </w:tc>
      </w:tr>
      <w:tr w:rsidR="00A32DA8" w:rsidRPr="00A32DA8" w14:paraId="5A658241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639F1706" w14:textId="3B23660F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20.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69432F8C" w14:textId="52F779A3" w:rsidR="00A32DA8" w:rsidRPr="00A32DA8" w:rsidRDefault="00A32DA8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Filtr wstępny z potrzebną armaturą 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CENTRIFUGES NW75 firmy EPURO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5183FD0D" w14:textId="7B02353B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4F8FCAD7" w14:textId="229968CD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A32DA8" w:rsidRPr="00A32DA8" w14:paraId="3EFBFBAE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55ABDAD6" w14:textId="1A20E77F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21.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3CF72AEB" w14:textId="42836157" w:rsidR="00A32DA8" w:rsidRPr="00A32DA8" w:rsidRDefault="00A32DA8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Zestaw z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miękczacz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y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jonowymienny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ch</w:t>
            </w: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EPUROTECH 52/425 DE firmy EPURO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13657C7" w14:textId="453A1CD9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4CD26866" w14:textId="073045D4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 w:rsidRPr="00A32DA8"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  <w:tr w:rsidR="00A32DA8" w:rsidRPr="00A32DA8" w14:paraId="760F6345" w14:textId="77777777" w:rsidTr="00A16ADC">
        <w:trPr>
          <w:trHeight w:val="300"/>
        </w:trPr>
        <w:tc>
          <w:tcPr>
            <w:tcW w:w="582" w:type="dxa"/>
            <w:shd w:val="clear" w:color="auto" w:fill="auto"/>
            <w:noWrap/>
            <w:vAlign w:val="center"/>
          </w:tcPr>
          <w:p w14:paraId="73ECAA01" w14:textId="4CB6A36A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22.</w:t>
            </w:r>
          </w:p>
        </w:tc>
        <w:tc>
          <w:tcPr>
            <w:tcW w:w="7088" w:type="dxa"/>
            <w:shd w:val="clear" w:color="auto" w:fill="auto"/>
            <w:noWrap/>
            <w:vAlign w:val="center"/>
          </w:tcPr>
          <w:p w14:paraId="5942EC9C" w14:textId="3874FB05" w:rsidR="00A32DA8" w:rsidRPr="00A32DA8" w:rsidRDefault="00A32DA8" w:rsidP="00A16ADC">
            <w:pPr>
              <w:spacing w:after="0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Zbiornik do magazynowania wody o poj. 56m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90" w:type="dxa"/>
            <w:shd w:val="clear" w:color="auto" w:fill="auto"/>
            <w:noWrap/>
            <w:vAlign w:val="center"/>
          </w:tcPr>
          <w:p w14:paraId="777C0D70" w14:textId="7ACEC821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6D1C69AF" w14:textId="7FECC7B0" w:rsidR="00A32DA8" w:rsidRPr="00A32DA8" w:rsidRDefault="00A32DA8" w:rsidP="00A16ADC">
            <w:pPr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kpl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.</w:t>
            </w:r>
          </w:p>
        </w:tc>
      </w:tr>
    </w:tbl>
    <w:p w14:paraId="60649963" w14:textId="77777777" w:rsidR="00D25B65" w:rsidRPr="00843FF0" w:rsidRDefault="00D25B65" w:rsidP="00D25B65">
      <w:pPr>
        <w:pStyle w:val="Bezodstpw"/>
        <w:spacing w:line="276" w:lineRule="auto"/>
        <w:jc w:val="both"/>
        <w:rPr>
          <w:rFonts w:ascii="Arial" w:hAnsi="Arial" w:cs="Arial"/>
          <w:color w:val="00B0F0"/>
          <w:sz w:val="24"/>
          <w:szCs w:val="24"/>
        </w:rPr>
      </w:pPr>
    </w:p>
    <w:p w14:paraId="4C55DB47" w14:textId="77777777" w:rsidR="00D25B65" w:rsidRPr="00D25B65" w:rsidRDefault="00D25B65" w:rsidP="00D25B65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3A2BBD65" w14:textId="77777777" w:rsidR="00D25B65" w:rsidRDefault="00D25B65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p w14:paraId="2369E5F9" w14:textId="1919A4F5" w:rsidR="00751934" w:rsidRPr="00704C1A" w:rsidRDefault="00751934" w:rsidP="00084C89">
      <w:pPr>
        <w:pStyle w:val="Akapitzlist"/>
        <w:suppressAutoHyphens/>
        <w:spacing w:line="276" w:lineRule="auto"/>
        <w:ind w:left="792"/>
        <w:jc w:val="both"/>
        <w:rPr>
          <w:rFonts w:cs="Arial"/>
        </w:rPr>
      </w:pPr>
    </w:p>
    <w:sectPr w:rsidR="00751934" w:rsidRPr="00704C1A" w:rsidSect="00392140">
      <w:footerReference w:type="default" r:id="rId7"/>
      <w:pgSz w:w="11906" w:h="16838"/>
      <w:pgMar w:top="1417" w:right="1417" w:bottom="1417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E0ACA" w14:textId="77777777" w:rsidR="00AC6C21" w:rsidRDefault="00AC6C21" w:rsidP="00392140">
      <w:pPr>
        <w:spacing w:after="0" w:line="240" w:lineRule="auto"/>
      </w:pPr>
      <w:r>
        <w:separator/>
      </w:r>
    </w:p>
  </w:endnote>
  <w:endnote w:type="continuationSeparator" w:id="0">
    <w:p w14:paraId="16C8638B" w14:textId="77777777" w:rsidR="00AC6C21" w:rsidRDefault="00AC6C21" w:rsidP="0039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2060006142"/>
      <w:docPartObj>
        <w:docPartGallery w:val="Page Numbers (Bottom of Page)"/>
        <w:docPartUnique/>
      </w:docPartObj>
    </w:sdtPr>
    <w:sdtContent>
      <w:p w14:paraId="38476872" w14:textId="659C920B" w:rsidR="00392140" w:rsidRPr="00392140" w:rsidRDefault="00392140">
        <w:pPr>
          <w:pStyle w:val="Stopka"/>
          <w:jc w:val="right"/>
          <w:rPr>
            <w:rFonts w:ascii="Arial" w:hAnsi="Arial" w:cs="Arial"/>
          </w:rPr>
        </w:pPr>
        <w:r w:rsidRPr="00392140">
          <w:rPr>
            <w:rFonts w:ascii="Arial" w:hAnsi="Arial" w:cs="Arial"/>
          </w:rPr>
          <w:fldChar w:fldCharType="begin"/>
        </w:r>
        <w:r w:rsidRPr="00392140">
          <w:rPr>
            <w:rFonts w:ascii="Arial" w:hAnsi="Arial" w:cs="Arial"/>
          </w:rPr>
          <w:instrText>PAGE   \* MERGEFORMAT</w:instrText>
        </w:r>
        <w:r w:rsidRPr="00392140">
          <w:rPr>
            <w:rFonts w:ascii="Arial" w:hAnsi="Arial" w:cs="Arial"/>
          </w:rPr>
          <w:fldChar w:fldCharType="separate"/>
        </w:r>
        <w:r w:rsidRPr="00392140">
          <w:rPr>
            <w:rFonts w:ascii="Arial" w:hAnsi="Arial" w:cs="Arial"/>
          </w:rPr>
          <w:t>2</w:t>
        </w:r>
        <w:r w:rsidRPr="00392140">
          <w:rPr>
            <w:rFonts w:ascii="Arial" w:hAnsi="Arial" w:cs="Arial"/>
          </w:rPr>
          <w:fldChar w:fldCharType="end"/>
        </w:r>
      </w:p>
    </w:sdtContent>
  </w:sdt>
  <w:p w14:paraId="7968F332" w14:textId="77777777" w:rsidR="00392140" w:rsidRPr="00392140" w:rsidRDefault="00392140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DD8C" w14:textId="77777777" w:rsidR="00AC6C21" w:rsidRDefault="00AC6C21" w:rsidP="00392140">
      <w:pPr>
        <w:spacing w:after="0" w:line="240" w:lineRule="auto"/>
      </w:pPr>
      <w:r>
        <w:separator/>
      </w:r>
    </w:p>
  </w:footnote>
  <w:footnote w:type="continuationSeparator" w:id="0">
    <w:p w14:paraId="1734BDA0" w14:textId="77777777" w:rsidR="00AC6C21" w:rsidRDefault="00AC6C21" w:rsidP="00392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164A"/>
    <w:multiLevelType w:val="hybridMultilevel"/>
    <w:tmpl w:val="ACDAD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6242A"/>
    <w:multiLevelType w:val="hybridMultilevel"/>
    <w:tmpl w:val="22929E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81E11"/>
    <w:multiLevelType w:val="hybridMultilevel"/>
    <w:tmpl w:val="FEFA60B4"/>
    <w:lvl w:ilvl="0" w:tplc="C2A84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E245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AF43CA"/>
    <w:multiLevelType w:val="hybridMultilevel"/>
    <w:tmpl w:val="DA86FDA6"/>
    <w:lvl w:ilvl="0" w:tplc="8C342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81377"/>
    <w:multiLevelType w:val="hybridMultilevel"/>
    <w:tmpl w:val="9B0A4A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C350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EE"/>
    <w:rsid w:val="00001F3B"/>
    <w:rsid w:val="00084A8A"/>
    <w:rsid w:val="00084C89"/>
    <w:rsid w:val="00087718"/>
    <w:rsid w:val="0023360D"/>
    <w:rsid w:val="002A5027"/>
    <w:rsid w:val="002D379F"/>
    <w:rsid w:val="00392140"/>
    <w:rsid w:val="003E4BF1"/>
    <w:rsid w:val="003F36B0"/>
    <w:rsid w:val="0045266D"/>
    <w:rsid w:val="00605AB0"/>
    <w:rsid w:val="006640C3"/>
    <w:rsid w:val="00690386"/>
    <w:rsid w:val="00704C1A"/>
    <w:rsid w:val="007340EE"/>
    <w:rsid w:val="00751934"/>
    <w:rsid w:val="007716D3"/>
    <w:rsid w:val="00843FF0"/>
    <w:rsid w:val="00881EFD"/>
    <w:rsid w:val="008D04DE"/>
    <w:rsid w:val="00931DB5"/>
    <w:rsid w:val="00950FC0"/>
    <w:rsid w:val="00955CC8"/>
    <w:rsid w:val="00A105D7"/>
    <w:rsid w:val="00A31B99"/>
    <w:rsid w:val="00A32DA8"/>
    <w:rsid w:val="00A5110C"/>
    <w:rsid w:val="00A61129"/>
    <w:rsid w:val="00AC6C21"/>
    <w:rsid w:val="00B00C51"/>
    <w:rsid w:val="00B657AB"/>
    <w:rsid w:val="00BE7E82"/>
    <w:rsid w:val="00C63396"/>
    <w:rsid w:val="00CD0588"/>
    <w:rsid w:val="00D24814"/>
    <w:rsid w:val="00D25B65"/>
    <w:rsid w:val="00E43E55"/>
    <w:rsid w:val="00F1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77EB"/>
  <w15:chartTrackingRefBased/>
  <w15:docId w15:val="{0FCF52B0-2325-49AB-AEF9-FB9880A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EE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40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26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40E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0EE"/>
    <w:pPr>
      <w:spacing w:before="480"/>
      <w:outlineLvl w:val="9"/>
    </w:pPr>
    <w:rPr>
      <w:b/>
      <w:bCs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340EE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340E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340E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9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14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1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140"/>
    <w:rPr>
      <w:rFonts w:eastAsiaTheme="minorEastAsia"/>
      <w:lang w:eastAsia="pl-PL"/>
    </w:rPr>
  </w:style>
  <w:style w:type="paragraph" w:customStyle="1" w:styleId="Default">
    <w:name w:val="Default"/>
    <w:rsid w:val="00931DB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26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266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D25B6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2102</Words>
  <Characters>12612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Podstawa opracowania</vt:lpstr>
      <vt:lpstr>Zakres opracowania</vt:lpstr>
      <vt:lpstr>Dane ogólne</vt:lpstr>
      <vt:lpstr>Obliczenia zapasu wody w zbiorniku</vt:lpstr>
      <vt:lpstr>Opis projektowanej instalacji</vt:lpstr>
      <vt:lpstr>Krótka charakterystyka dobranych urządzeń</vt:lpstr>
      <vt:lpstr>Przewody</vt:lpstr>
      <vt:lpstr>Ogólne warunki odbioru i wykonania robót</vt:lpstr>
      <vt:lpstr>Uwagi</vt:lpstr>
      <vt:lpstr>Zestawienie podstawowych materiałów</vt:lpstr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Danecka (magddan948)</dc:creator>
  <cp:keywords/>
  <dc:description/>
  <cp:lastModifiedBy>Magdalena Danecka (magddan948)</cp:lastModifiedBy>
  <cp:revision>8</cp:revision>
  <cp:lastPrinted>2022-04-22T12:40:00Z</cp:lastPrinted>
  <dcterms:created xsi:type="dcterms:W3CDTF">2022-04-22T09:38:00Z</dcterms:created>
  <dcterms:modified xsi:type="dcterms:W3CDTF">2022-04-22T12:40:00Z</dcterms:modified>
</cp:coreProperties>
</file>