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08C0E" w14:textId="77777777" w:rsidR="00F729FD" w:rsidRDefault="00F729FD" w:rsidP="004C37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337D88C" w14:textId="77777777" w:rsidR="00F729FD" w:rsidRPr="00F729FD" w:rsidRDefault="00F729FD" w:rsidP="00F729FD">
      <w:pPr>
        <w:tabs>
          <w:tab w:val="left" w:pos="3645"/>
        </w:tabs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Hlk495660496"/>
      <w:bookmarkEnd w:id="0"/>
      <w:r w:rsidRPr="00F729FD">
        <w:rPr>
          <w:rFonts w:ascii="Times New Roman" w:hAnsi="Times New Roman"/>
          <w:b/>
          <w:sz w:val="24"/>
          <w:szCs w:val="24"/>
        </w:rPr>
        <w:t>ZAŁĄCZNIK NR 3 DO UMOWY</w:t>
      </w:r>
    </w:p>
    <w:p w14:paraId="337A31FA" w14:textId="77777777" w:rsidR="00F729FD" w:rsidRDefault="00F729FD" w:rsidP="004C37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53F6480" w14:textId="77777777" w:rsidR="00F729FD" w:rsidRDefault="00F729FD" w:rsidP="004C37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DDA0162" w14:textId="71DC2334" w:rsidR="00F86862" w:rsidRPr="00DF373D" w:rsidRDefault="00F86862" w:rsidP="004C3700">
      <w:pPr>
        <w:spacing w:after="0" w:line="240" w:lineRule="auto"/>
        <w:jc w:val="center"/>
        <w:rPr>
          <w:rFonts w:ascii="Times New Roman" w:hAnsi="Times New Roman"/>
          <w:b/>
        </w:rPr>
      </w:pPr>
      <w:r w:rsidRPr="00DF373D">
        <w:rPr>
          <w:rFonts w:ascii="Times New Roman" w:hAnsi="Times New Roman"/>
          <w:b/>
        </w:rPr>
        <w:t xml:space="preserve">UBEZPIECZENIA </w:t>
      </w:r>
    </w:p>
    <w:p w14:paraId="5F73ED08" w14:textId="77777777" w:rsidR="00AE0623" w:rsidRPr="00DF373D" w:rsidRDefault="00AE0623" w:rsidP="004C37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C609EE" w14:textId="77777777" w:rsidR="006731C7" w:rsidRPr="00DF373D" w:rsidRDefault="006731C7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Zamawiający nie ponosi odpowiedzialności za majątek Wykonawcy, majątek osób trzecich znajdujący się na terenie realizacji przedmiotu zamówienia.</w:t>
      </w:r>
    </w:p>
    <w:p w14:paraId="7D59436A" w14:textId="68062E3C" w:rsidR="007754E5" w:rsidRPr="00DF373D" w:rsidRDefault="00660D3A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Wykonawca ponosi odpowiedzialność za wszelkie szkody powstałe w związku z prowadzoną przez Wykonawcę działalnością, wyrządzone przez niego, jego pracowników lub kontrahentów,</w:t>
      </w:r>
      <w:r w:rsidR="00505106" w:rsidRPr="00DF373D">
        <w:rPr>
          <w:rFonts w:ascii="Times New Roman" w:hAnsi="Times New Roman"/>
          <w:sz w:val="22"/>
          <w:szCs w:val="22"/>
        </w:rPr>
        <w:t xml:space="preserve"> dostawców, podwykonawców.</w:t>
      </w:r>
    </w:p>
    <w:p w14:paraId="10A7D65B" w14:textId="77777777" w:rsidR="004C3700" w:rsidRDefault="00660D3A" w:rsidP="004C3700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 xml:space="preserve">Wykonawca zobowiązany jest do zawarcia i utrzymywania przez cały czas obowiązywania umowy, </w:t>
      </w:r>
      <w:r w:rsidR="00741866" w:rsidRPr="004C3700">
        <w:rPr>
          <w:rFonts w:ascii="Times New Roman" w:hAnsi="Times New Roman"/>
          <w:sz w:val="22"/>
          <w:szCs w:val="22"/>
        </w:rPr>
        <w:t>u</w:t>
      </w:r>
      <w:r w:rsidR="001F7A75" w:rsidRPr="004C3700">
        <w:rPr>
          <w:rFonts w:ascii="Times New Roman" w:hAnsi="Times New Roman"/>
          <w:sz w:val="22"/>
          <w:szCs w:val="22"/>
        </w:rPr>
        <w:t>mowy ubezpieczenia odpowiedzialności cywilnej z tytułu prowadzonej działalności</w:t>
      </w:r>
      <w:r w:rsidR="00741866" w:rsidRPr="004C3700">
        <w:rPr>
          <w:rFonts w:ascii="Times New Roman" w:hAnsi="Times New Roman"/>
          <w:sz w:val="22"/>
          <w:szCs w:val="22"/>
        </w:rPr>
        <w:t xml:space="preserve"> gospodarczej i posiadania mienia,</w:t>
      </w:r>
      <w:r w:rsidR="001F7A75" w:rsidRPr="004C3700">
        <w:rPr>
          <w:rFonts w:ascii="Times New Roman" w:hAnsi="Times New Roman"/>
          <w:sz w:val="22"/>
          <w:szCs w:val="22"/>
        </w:rPr>
        <w:t xml:space="preserve"> będącej przedmiotem </w:t>
      </w:r>
      <w:r w:rsidR="00741866" w:rsidRPr="004C3700">
        <w:rPr>
          <w:rFonts w:ascii="Times New Roman" w:hAnsi="Times New Roman"/>
          <w:sz w:val="22"/>
          <w:szCs w:val="22"/>
        </w:rPr>
        <w:t>zamówienia</w:t>
      </w:r>
      <w:r w:rsidR="001F7A75" w:rsidRPr="004C3700">
        <w:rPr>
          <w:rFonts w:ascii="Times New Roman" w:hAnsi="Times New Roman"/>
          <w:sz w:val="22"/>
          <w:szCs w:val="22"/>
        </w:rPr>
        <w:t xml:space="preserve"> zgodnie z wymogami opisanymi poniżej,</w:t>
      </w:r>
    </w:p>
    <w:p w14:paraId="67F09767" w14:textId="648C8178" w:rsidR="004C3700" w:rsidRPr="004C3700" w:rsidRDefault="00C77C04" w:rsidP="004C3700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4C3700">
        <w:rPr>
          <w:rFonts w:ascii="Times New Roman" w:eastAsia="Calibri" w:hAnsi="Times New Roman"/>
          <w:sz w:val="22"/>
          <w:szCs w:val="22"/>
        </w:rPr>
        <w:t>Okres ubezpieczenia obejmować winien obejmować okres od dnia protokolarnego przekazania terenu budowy Wykonawcy do dnia podpisania przez strony protokołu odbioru k</w:t>
      </w:r>
      <w:r w:rsidR="004C3700">
        <w:rPr>
          <w:rFonts w:ascii="Times New Roman" w:eastAsia="Calibri" w:hAnsi="Times New Roman"/>
          <w:sz w:val="22"/>
          <w:szCs w:val="22"/>
        </w:rPr>
        <w:t>ońcowego</w:t>
      </w:r>
      <w:r w:rsidRPr="004C3700">
        <w:rPr>
          <w:rFonts w:ascii="Times New Roman" w:eastAsia="Calibri" w:hAnsi="Times New Roman"/>
          <w:sz w:val="22"/>
          <w:szCs w:val="22"/>
        </w:rPr>
        <w:t xml:space="preserve">.  </w:t>
      </w:r>
    </w:p>
    <w:p w14:paraId="7105F288" w14:textId="3499E450" w:rsidR="007754E5" w:rsidRPr="004C3700" w:rsidRDefault="00660D3A" w:rsidP="004C3700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4C3700">
        <w:rPr>
          <w:rFonts w:ascii="Times New Roman" w:hAnsi="Times New Roman"/>
          <w:sz w:val="22"/>
          <w:szCs w:val="22"/>
        </w:rPr>
        <w:t xml:space="preserve">Umowa ubezpieczenia odpowiedzialności cywilnej z tytułu prowadzonej działalności Wykonawcy </w:t>
      </w:r>
      <w:r w:rsidR="00475507" w:rsidRPr="004C3700">
        <w:rPr>
          <w:rFonts w:ascii="Times New Roman" w:eastAsia="Calibri" w:hAnsi="Times New Roman"/>
          <w:sz w:val="22"/>
          <w:szCs w:val="22"/>
        </w:rPr>
        <w:t>obejmować winna swoim zakresem</w:t>
      </w:r>
      <w:r w:rsidRPr="004C3700">
        <w:rPr>
          <w:rFonts w:ascii="Times New Roman" w:hAnsi="Times New Roman"/>
          <w:sz w:val="22"/>
          <w:szCs w:val="22"/>
        </w:rPr>
        <w:t>:</w:t>
      </w:r>
    </w:p>
    <w:p w14:paraId="69A3CA58" w14:textId="0A4E9F3A" w:rsidR="004C3700" w:rsidRPr="004C3700" w:rsidRDefault="006731C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 xml:space="preserve">sumę gwarancyjną nie niższą niż </w:t>
      </w:r>
      <w:r w:rsidR="00796E68">
        <w:rPr>
          <w:rFonts w:ascii="Times New Roman" w:hAnsi="Times New Roman"/>
          <w:color w:val="auto"/>
          <w:sz w:val="22"/>
          <w:szCs w:val="22"/>
        </w:rPr>
        <w:t>5</w:t>
      </w:r>
      <w:r w:rsidR="001F7A75" w:rsidRPr="004C3700">
        <w:rPr>
          <w:rFonts w:ascii="Times New Roman" w:hAnsi="Times New Roman"/>
          <w:color w:val="auto"/>
          <w:sz w:val="22"/>
          <w:szCs w:val="22"/>
        </w:rPr>
        <w:t xml:space="preserve"> 000 000 </w:t>
      </w:r>
      <w:r w:rsidRPr="004C3700">
        <w:rPr>
          <w:rFonts w:ascii="Times New Roman" w:hAnsi="Times New Roman"/>
          <w:color w:val="auto"/>
          <w:sz w:val="22"/>
          <w:szCs w:val="22"/>
        </w:rPr>
        <w:t xml:space="preserve">zł (słownie: </w:t>
      </w:r>
      <w:r w:rsidR="00796E68">
        <w:rPr>
          <w:rFonts w:ascii="Times New Roman" w:hAnsi="Times New Roman"/>
          <w:color w:val="auto"/>
          <w:sz w:val="22"/>
          <w:szCs w:val="22"/>
        </w:rPr>
        <w:t>pięć</w:t>
      </w:r>
      <w:r w:rsidR="001F7A75" w:rsidRPr="004C3700">
        <w:rPr>
          <w:rFonts w:ascii="Times New Roman" w:hAnsi="Times New Roman"/>
          <w:color w:val="auto"/>
          <w:sz w:val="22"/>
          <w:szCs w:val="22"/>
        </w:rPr>
        <w:t xml:space="preserve"> milion</w:t>
      </w:r>
      <w:r w:rsidR="00796E68">
        <w:rPr>
          <w:rFonts w:ascii="Times New Roman" w:hAnsi="Times New Roman"/>
          <w:color w:val="auto"/>
          <w:sz w:val="22"/>
          <w:szCs w:val="22"/>
        </w:rPr>
        <w:t>ów</w:t>
      </w:r>
      <w:r w:rsidRPr="004C3700">
        <w:rPr>
          <w:rFonts w:ascii="Times New Roman" w:hAnsi="Times New Roman"/>
          <w:color w:val="auto"/>
          <w:sz w:val="22"/>
          <w:szCs w:val="22"/>
        </w:rPr>
        <w:t xml:space="preserve"> 00/100) złotych na jedno i na wszystkie zdarzenia w okresie ubezpieczenia;</w:t>
      </w:r>
    </w:p>
    <w:p w14:paraId="71C9E457" w14:textId="77777777" w:rsidR="004C3700" w:rsidRPr="004C3700" w:rsidRDefault="006731C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 xml:space="preserve">działalność prowadzoną przez </w:t>
      </w:r>
      <w:r w:rsidR="001F7A75" w:rsidRPr="004C3700">
        <w:rPr>
          <w:rFonts w:ascii="Times New Roman" w:hAnsi="Times New Roman"/>
          <w:color w:val="auto"/>
          <w:sz w:val="22"/>
          <w:szCs w:val="22"/>
        </w:rPr>
        <w:t>Wykonawcę</w:t>
      </w:r>
      <w:r w:rsidRPr="004C3700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1F7A75" w:rsidRPr="004C3700">
        <w:rPr>
          <w:rFonts w:ascii="Times New Roman" w:hAnsi="Times New Roman"/>
          <w:color w:val="auto"/>
          <w:sz w:val="22"/>
          <w:szCs w:val="22"/>
        </w:rPr>
        <w:t>będącą przedmiotem realizacji przedmiotu zamówienia;</w:t>
      </w:r>
    </w:p>
    <w:p w14:paraId="338D4643" w14:textId="77777777" w:rsidR="004C3700" w:rsidRPr="004C3700" w:rsidRDefault="006731C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 xml:space="preserve">zarówno odpowiedzialność deliktową jak i kontraktową </w:t>
      </w:r>
      <w:bookmarkStart w:id="1" w:name="_Hlk63081630"/>
      <w:r w:rsidRPr="004C3700">
        <w:rPr>
          <w:rFonts w:ascii="Times New Roman" w:hAnsi="Times New Roman"/>
          <w:color w:val="auto"/>
          <w:sz w:val="22"/>
          <w:szCs w:val="22"/>
        </w:rPr>
        <w:t>do wysokości ogólnej sumy gwarancyjnej na jedno i wszystkie zdarzenia w okresie ubezpieczenia</w:t>
      </w:r>
      <w:bookmarkEnd w:id="1"/>
      <w:r w:rsidRPr="004C3700">
        <w:rPr>
          <w:rFonts w:ascii="Times New Roman" w:hAnsi="Times New Roman"/>
          <w:color w:val="auto"/>
          <w:sz w:val="22"/>
          <w:szCs w:val="22"/>
        </w:rPr>
        <w:t>;</w:t>
      </w:r>
    </w:p>
    <w:p w14:paraId="198DAFAA" w14:textId="77777777" w:rsidR="004C3700" w:rsidRPr="004C3700" w:rsidRDefault="00345403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cywilną za szkody osobowe i rzeczowe oraz z konsekwentnymi stratami finansowymi</w:t>
      </w:r>
      <w:r w:rsidR="00DB0CFD" w:rsidRPr="004C3700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4C3700">
        <w:rPr>
          <w:rFonts w:ascii="Times New Roman" w:hAnsi="Times New Roman"/>
          <w:color w:val="auto"/>
          <w:sz w:val="22"/>
          <w:szCs w:val="22"/>
        </w:rPr>
        <w:t>pod warunkiem, że wypadek ubezpieczeniowy miał miejsce w okresie ubezpieczenia, nawet jeżeli zostaną one zgłoszone po tym okresie, jednak przed upływem terminu przedawnienia, do wysokości ogólnej sumy gwarancyjnej na jedno i wszystkie zdarzenia w okresie ubezpieczenia</w:t>
      </w:r>
      <w:r w:rsidR="00DB0CFD" w:rsidRPr="004C3700">
        <w:rPr>
          <w:rFonts w:ascii="Times New Roman" w:hAnsi="Times New Roman"/>
          <w:color w:val="auto"/>
          <w:sz w:val="22"/>
          <w:szCs w:val="22"/>
        </w:rPr>
        <w:t>;</w:t>
      </w:r>
    </w:p>
    <w:p w14:paraId="5B0C6362" w14:textId="77777777" w:rsidR="004C3700" w:rsidRPr="004C3700" w:rsidRDefault="0047550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cywilną</w:t>
      </w:r>
      <w:r w:rsidR="00660D3A" w:rsidRPr="004C3700">
        <w:rPr>
          <w:rFonts w:ascii="Times New Roman" w:hAnsi="Times New Roman"/>
          <w:color w:val="auto"/>
          <w:sz w:val="22"/>
          <w:szCs w:val="22"/>
        </w:rPr>
        <w:t xml:space="preserve"> za produkt - odpowiedzialność do wysokości ogólnej sumy gwarancyjnej na jedno i wszystkie zdarzenia w okresie ubezpieczenia</w:t>
      </w:r>
      <w:r w:rsidR="00DB0CFD" w:rsidRPr="004C3700">
        <w:rPr>
          <w:rFonts w:ascii="Times New Roman" w:hAnsi="Times New Roman"/>
          <w:color w:val="auto"/>
          <w:sz w:val="22"/>
          <w:szCs w:val="22"/>
        </w:rPr>
        <w:t>;</w:t>
      </w:r>
    </w:p>
    <w:p w14:paraId="4359487E" w14:textId="77777777" w:rsidR="004C3700" w:rsidRPr="004C3700" w:rsidRDefault="0047550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cywilną</w:t>
      </w:r>
      <w:r w:rsidR="00660D3A" w:rsidRPr="004C3700">
        <w:rPr>
          <w:rFonts w:ascii="Times New Roman" w:hAnsi="Times New Roman"/>
          <w:color w:val="auto"/>
          <w:sz w:val="22"/>
          <w:szCs w:val="22"/>
        </w:rPr>
        <w:t xml:space="preserve"> za szkody powstałe po wykonaniu  pracy lub usługi - odpowiedzialność do wysokości ogólnej sumy gwarancyjnej na jedno i wszystkie zdarzenia w okresie ubezpieczenia</w:t>
      </w:r>
      <w:r w:rsidR="00DB0CFD" w:rsidRPr="004C3700">
        <w:rPr>
          <w:rFonts w:ascii="Times New Roman" w:hAnsi="Times New Roman"/>
          <w:color w:val="auto"/>
          <w:sz w:val="22"/>
          <w:szCs w:val="22"/>
        </w:rPr>
        <w:t>;</w:t>
      </w:r>
    </w:p>
    <w:p w14:paraId="343AFE7E" w14:textId="77777777" w:rsidR="004C3700" w:rsidRPr="004C3700" w:rsidRDefault="00475507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cywilną</w:t>
      </w:r>
      <w:r w:rsidR="00660D3A" w:rsidRPr="004C3700">
        <w:rPr>
          <w:rFonts w:ascii="Times New Roman" w:hAnsi="Times New Roman"/>
          <w:color w:val="auto"/>
          <w:sz w:val="22"/>
          <w:szCs w:val="22"/>
        </w:rPr>
        <w:t xml:space="preserve"> za szkody wyrządzone przez </w:t>
      </w:r>
      <w:r w:rsidR="008B661C" w:rsidRPr="004C3700">
        <w:rPr>
          <w:rFonts w:ascii="Times New Roman" w:hAnsi="Times New Roman"/>
          <w:color w:val="auto"/>
          <w:sz w:val="22"/>
          <w:szCs w:val="22"/>
        </w:rPr>
        <w:t>p</w:t>
      </w:r>
      <w:r w:rsidR="00660D3A" w:rsidRPr="004C3700">
        <w:rPr>
          <w:rFonts w:ascii="Times New Roman" w:hAnsi="Times New Roman"/>
          <w:color w:val="auto"/>
          <w:sz w:val="22"/>
          <w:szCs w:val="22"/>
        </w:rPr>
        <w:t>odwykonawców - odpowiedzialność do wysokości ogólnej sumy gwarancyjnej na jedno i wszystkie zdarzenia w okresie ubezpieczenia</w:t>
      </w:r>
      <w:r w:rsidR="00DB0CFD" w:rsidRPr="004C3700">
        <w:rPr>
          <w:rFonts w:ascii="Times New Roman" w:hAnsi="Times New Roman"/>
          <w:color w:val="auto"/>
          <w:sz w:val="22"/>
          <w:szCs w:val="22"/>
        </w:rPr>
        <w:t>;</w:t>
      </w:r>
    </w:p>
    <w:p w14:paraId="6553B65A" w14:textId="77777777" w:rsidR="004C3700" w:rsidRPr="004C3700" w:rsidRDefault="00D862E6" w:rsidP="004C370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eastAsia="Calibri" w:hAnsi="Times New Roman"/>
          <w:color w:val="auto"/>
          <w:sz w:val="22"/>
          <w:szCs w:val="22"/>
        </w:rPr>
        <w:t xml:space="preserve">odpowiedzialność cywilną za szkody spowodowane przez pojazdy niepodlegające obowiązkowemu ubezpieczeniu OC, jeżeli tego typu pojazdy będą wykorzystywane przez Najemcę na terenie </w:t>
      </w:r>
      <w:r w:rsidRPr="004C3700">
        <w:rPr>
          <w:rFonts w:ascii="Times New Roman" w:eastAsia="Calibri" w:hAnsi="Times New Roman"/>
          <w:color w:val="auto"/>
          <w:sz w:val="22"/>
          <w:szCs w:val="22"/>
          <w:lang w:val="x-none"/>
        </w:rPr>
        <w:t xml:space="preserve">realizacji zamówienia </w:t>
      </w:r>
      <w:r w:rsidRPr="004C3700">
        <w:rPr>
          <w:rFonts w:ascii="Times New Roman" w:eastAsia="Calibri" w:hAnsi="Times New Roman"/>
          <w:color w:val="auto"/>
          <w:sz w:val="22"/>
          <w:szCs w:val="22"/>
        </w:rPr>
        <w:t>- odpowiedzialność do wysokości ogólnej sumy gwarancyjnej na jedno i wszystkie zdarzenia w okresie ubezpieczenia;</w:t>
      </w:r>
    </w:p>
    <w:p w14:paraId="1C901196" w14:textId="0575F12C" w:rsidR="004C3700" w:rsidRPr="008E240F" w:rsidRDefault="00D862E6" w:rsidP="008E240F">
      <w:pPr>
        <w:pStyle w:val="Akapitzlist"/>
        <w:numPr>
          <w:ilvl w:val="1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eastAsia="Calibri" w:hAnsi="Times New Roman"/>
          <w:color w:val="auto"/>
          <w:sz w:val="22"/>
          <w:szCs w:val="22"/>
        </w:rPr>
        <w:t>odpowiedzialność</w:t>
      </w:r>
      <w:r w:rsidRPr="004C3700">
        <w:rPr>
          <w:rFonts w:ascii="Times New Roman" w:hAnsi="Times New Roman"/>
          <w:color w:val="auto"/>
          <w:sz w:val="22"/>
          <w:szCs w:val="22"/>
        </w:rPr>
        <w:t xml:space="preserve"> za szkody wynikające z nagłego zanieczyszczenia środowiska szkodliwymi substancjami </w:t>
      </w:r>
      <w:r w:rsidR="004C3700" w:rsidRPr="004C3700">
        <w:rPr>
          <w:rFonts w:ascii="Times New Roman" w:hAnsi="Times New Roman"/>
          <w:color w:val="auto"/>
          <w:sz w:val="22"/>
          <w:szCs w:val="22"/>
        </w:rPr>
        <w:t xml:space="preserve">- dopuszczalny </w:t>
      </w:r>
      <w:proofErr w:type="spellStart"/>
      <w:r w:rsidR="004C3700" w:rsidRPr="004C3700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4C3700" w:rsidRPr="004C3700">
        <w:rPr>
          <w:rFonts w:ascii="Times New Roman" w:hAnsi="Times New Roman"/>
          <w:color w:val="auto"/>
          <w:sz w:val="22"/>
          <w:szCs w:val="22"/>
        </w:rPr>
        <w:t xml:space="preserve"> odpowiedz</w:t>
      </w:r>
      <w:r w:rsidR="00F30D88">
        <w:rPr>
          <w:rFonts w:ascii="Times New Roman" w:hAnsi="Times New Roman"/>
          <w:color w:val="auto"/>
          <w:sz w:val="22"/>
          <w:szCs w:val="22"/>
        </w:rPr>
        <w:t xml:space="preserve">ialności </w:t>
      </w:r>
      <w:r w:rsidR="008E240F" w:rsidRPr="004C3700">
        <w:rPr>
          <w:rFonts w:ascii="Times New Roman" w:hAnsi="Times New Roman"/>
          <w:color w:val="auto"/>
          <w:sz w:val="22"/>
          <w:szCs w:val="22"/>
        </w:rPr>
        <w:t>- dopuszczaln</w:t>
      </w:r>
      <w:r w:rsidR="00796E68">
        <w:rPr>
          <w:rFonts w:ascii="Times New Roman" w:hAnsi="Times New Roman"/>
          <w:color w:val="auto"/>
          <w:sz w:val="22"/>
          <w:szCs w:val="22"/>
        </w:rPr>
        <w:t xml:space="preserve">y </w:t>
      </w:r>
      <w:proofErr w:type="spellStart"/>
      <w:r w:rsidR="00796E68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796E68">
        <w:rPr>
          <w:rFonts w:ascii="Times New Roman" w:hAnsi="Times New Roman"/>
          <w:color w:val="auto"/>
          <w:sz w:val="22"/>
          <w:szCs w:val="22"/>
        </w:rPr>
        <w:t xml:space="preserve"> odpowiedzialności – 2</w:t>
      </w:r>
      <w:r w:rsidR="008E240F" w:rsidRPr="004C3700">
        <w:rPr>
          <w:rFonts w:ascii="Times New Roman" w:hAnsi="Times New Roman"/>
          <w:color w:val="auto"/>
          <w:sz w:val="22"/>
          <w:szCs w:val="22"/>
        </w:rPr>
        <w:t>.</w:t>
      </w:r>
      <w:r w:rsidR="008E240F">
        <w:rPr>
          <w:rFonts w:ascii="Times New Roman" w:hAnsi="Times New Roman"/>
          <w:color w:val="auto"/>
          <w:sz w:val="22"/>
          <w:szCs w:val="22"/>
        </w:rPr>
        <w:t>0</w:t>
      </w:r>
      <w:r w:rsidR="008E240F" w:rsidRPr="004C3700">
        <w:rPr>
          <w:rFonts w:ascii="Times New Roman" w:hAnsi="Times New Roman"/>
          <w:color w:val="auto"/>
          <w:sz w:val="22"/>
          <w:szCs w:val="22"/>
        </w:rPr>
        <w:t>00.000 zł na jedno i wszystkie zdarzenia w okresie ubezpieczenia,</w:t>
      </w:r>
    </w:p>
    <w:p w14:paraId="72687049" w14:textId="1D7B3359" w:rsidR="004C3700" w:rsidRPr="004C3700" w:rsidRDefault="00D862E6" w:rsidP="004C3700">
      <w:pPr>
        <w:pStyle w:val="Akapitzlist"/>
        <w:numPr>
          <w:ilvl w:val="1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za szkody w mieniu stanowiącym przedmiot obróbki, naprawy lub innych czynności w ramach usług wykonywanych przez osoby objęte ubezpieczeniem - dopuszczaln</w:t>
      </w:r>
      <w:r w:rsidR="00796E68">
        <w:rPr>
          <w:rFonts w:ascii="Times New Roman" w:hAnsi="Times New Roman"/>
          <w:color w:val="auto"/>
          <w:sz w:val="22"/>
          <w:szCs w:val="22"/>
        </w:rPr>
        <w:t xml:space="preserve">y </w:t>
      </w:r>
      <w:proofErr w:type="spellStart"/>
      <w:r w:rsidR="00796E68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796E68">
        <w:rPr>
          <w:rFonts w:ascii="Times New Roman" w:hAnsi="Times New Roman"/>
          <w:color w:val="auto"/>
          <w:sz w:val="22"/>
          <w:szCs w:val="22"/>
        </w:rPr>
        <w:t xml:space="preserve"> odpowiedzialności – 2</w:t>
      </w:r>
      <w:r w:rsidRPr="004C3700">
        <w:rPr>
          <w:rFonts w:ascii="Times New Roman" w:hAnsi="Times New Roman"/>
          <w:color w:val="auto"/>
          <w:sz w:val="22"/>
          <w:szCs w:val="22"/>
        </w:rPr>
        <w:t>.</w:t>
      </w:r>
      <w:r w:rsidR="00F30D88">
        <w:rPr>
          <w:rFonts w:ascii="Times New Roman" w:hAnsi="Times New Roman"/>
          <w:color w:val="auto"/>
          <w:sz w:val="22"/>
          <w:szCs w:val="22"/>
        </w:rPr>
        <w:t>0</w:t>
      </w:r>
      <w:r w:rsidRPr="004C3700">
        <w:rPr>
          <w:rFonts w:ascii="Times New Roman" w:hAnsi="Times New Roman"/>
          <w:color w:val="auto"/>
          <w:sz w:val="22"/>
          <w:szCs w:val="22"/>
        </w:rPr>
        <w:t>00.000 zł na jedno i wszystkie zdarzenia w okresie ubezpieczenia,</w:t>
      </w:r>
    </w:p>
    <w:p w14:paraId="0D95171F" w14:textId="77777777" w:rsidR="004C3700" w:rsidRPr="004C3700" w:rsidRDefault="00D862E6" w:rsidP="004C3700">
      <w:pPr>
        <w:pStyle w:val="Akapitzlist"/>
        <w:numPr>
          <w:ilvl w:val="1"/>
          <w:numId w:val="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odpowiedzialność za szkody powstałe wskutek osunięcia się ziemi i osłabienia elementów nośnych  - dopuszczalny</w:t>
      </w:r>
      <w:r w:rsidR="004C3700" w:rsidRPr="004C370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4C3700" w:rsidRPr="004C3700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="004C3700" w:rsidRPr="004C3700">
        <w:rPr>
          <w:rFonts w:ascii="Times New Roman" w:hAnsi="Times New Roman"/>
          <w:color w:val="auto"/>
          <w:sz w:val="22"/>
          <w:szCs w:val="22"/>
        </w:rPr>
        <w:t xml:space="preserve"> odpowiedzialności:  1</w:t>
      </w:r>
      <w:r w:rsidRPr="004C3700">
        <w:rPr>
          <w:rFonts w:ascii="Times New Roman" w:hAnsi="Times New Roman"/>
          <w:color w:val="auto"/>
          <w:sz w:val="22"/>
          <w:szCs w:val="22"/>
        </w:rPr>
        <w:t>.000.000 zł na jedno i wszystkie zdarzenia w  okresie ubezpieczenia,</w:t>
      </w:r>
    </w:p>
    <w:p w14:paraId="573AD387" w14:textId="54151FE4" w:rsidR="004C3700" w:rsidRPr="004C3700" w:rsidRDefault="00D862E6" w:rsidP="004C3700">
      <w:pPr>
        <w:pStyle w:val="Akapitzlist"/>
        <w:numPr>
          <w:ilvl w:val="1"/>
          <w:numId w:val="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 xml:space="preserve">klauzula usunięcia i zastąpienia – dopuszczalny </w:t>
      </w:r>
      <w:proofErr w:type="spellStart"/>
      <w:r w:rsidRPr="004C3700">
        <w:rPr>
          <w:rFonts w:ascii="Times New Roman" w:hAnsi="Times New Roman"/>
          <w:color w:val="auto"/>
          <w:sz w:val="22"/>
          <w:szCs w:val="22"/>
        </w:rPr>
        <w:t>podli</w:t>
      </w:r>
      <w:r w:rsidR="00F30D88">
        <w:rPr>
          <w:rFonts w:ascii="Times New Roman" w:hAnsi="Times New Roman"/>
          <w:color w:val="auto"/>
          <w:sz w:val="22"/>
          <w:szCs w:val="22"/>
        </w:rPr>
        <w:t>mit</w:t>
      </w:r>
      <w:proofErr w:type="spellEnd"/>
      <w:r w:rsidR="00F30D88">
        <w:rPr>
          <w:rFonts w:ascii="Times New Roman" w:hAnsi="Times New Roman"/>
          <w:color w:val="auto"/>
          <w:sz w:val="22"/>
          <w:szCs w:val="22"/>
        </w:rPr>
        <w:t xml:space="preserve"> odpowiedzialności: 50</w:t>
      </w:r>
      <w:r w:rsidRPr="004C3700">
        <w:rPr>
          <w:rFonts w:ascii="Times New Roman" w:hAnsi="Times New Roman"/>
          <w:color w:val="auto"/>
          <w:sz w:val="22"/>
          <w:szCs w:val="22"/>
        </w:rPr>
        <w:t>0.000 zł na jedno i wszystkie zdarzenia w  okresie ubezpieczenia,</w:t>
      </w:r>
    </w:p>
    <w:p w14:paraId="5A713520" w14:textId="259CCD3B" w:rsidR="004C3700" w:rsidRPr="004C3700" w:rsidRDefault="00D862E6" w:rsidP="004C3700">
      <w:pPr>
        <w:pStyle w:val="Akapitzlist"/>
        <w:numPr>
          <w:ilvl w:val="1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lastRenderedPageBreak/>
        <w:t xml:space="preserve">czyste straty finansowe, w tym z tytułu braku lub ograniczonego dostępu, obejmujące również odpowiedzialność za produkt oraz usługę - dopuszczalny </w:t>
      </w:r>
      <w:proofErr w:type="spellStart"/>
      <w:r w:rsidRPr="004C3700">
        <w:rPr>
          <w:rFonts w:ascii="Times New Roman" w:hAnsi="Times New Roman"/>
          <w:color w:val="auto"/>
          <w:sz w:val="22"/>
          <w:szCs w:val="22"/>
        </w:rPr>
        <w:t>podlimit</w:t>
      </w:r>
      <w:proofErr w:type="spellEnd"/>
      <w:r w:rsidRPr="004C3700">
        <w:rPr>
          <w:rFonts w:ascii="Times New Roman" w:hAnsi="Times New Roman"/>
          <w:color w:val="auto"/>
          <w:sz w:val="22"/>
          <w:szCs w:val="22"/>
        </w:rPr>
        <w:t xml:space="preserve"> odpowie</w:t>
      </w:r>
      <w:r w:rsidR="00796E68">
        <w:rPr>
          <w:rFonts w:ascii="Times New Roman" w:hAnsi="Times New Roman"/>
          <w:color w:val="auto"/>
          <w:sz w:val="22"/>
          <w:szCs w:val="22"/>
        </w:rPr>
        <w:t>dzialności: 1.0</w:t>
      </w:r>
      <w:r w:rsidRPr="004C3700">
        <w:rPr>
          <w:rFonts w:ascii="Times New Roman" w:hAnsi="Times New Roman"/>
          <w:color w:val="auto"/>
          <w:sz w:val="22"/>
          <w:szCs w:val="22"/>
        </w:rPr>
        <w:t>00.000 PLN na jedno i wszystkie zdarzenia w okresie ubezpieczenia,</w:t>
      </w:r>
    </w:p>
    <w:p w14:paraId="6803B894" w14:textId="77777777" w:rsidR="004C3700" w:rsidRPr="004C3700" w:rsidRDefault="00D862E6" w:rsidP="004C3700">
      <w:pPr>
        <w:pStyle w:val="Akapitzlist"/>
        <w:numPr>
          <w:ilvl w:val="1"/>
          <w:numId w:val="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>szkody wskutek rażącego niedbalstwa - odpowiedzialność do wysokości ogólnej sumy gwarancyjnej na jedno i wszystkie zdarzenia w okresie ubezpieczenia,</w:t>
      </w:r>
    </w:p>
    <w:p w14:paraId="041334E2" w14:textId="552B9A73" w:rsidR="00D219B8" w:rsidRPr="008E7D58" w:rsidRDefault="00D862E6" w:rsidP="008E7D58">
      <w:pPr>
        <w:pStyle w:val="Akapitzlist"/>
        <w:numPr>
          <w:ilvl w:val="1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hAnsi="Times New Roman"/>
          <w:color w:val="auto"/>
          <w:sz w:val="22"/>
          <w:szCs w:val="22"/>
          <w:lang w:val="x-none"/>
        </w:rPr>
      </w:pPr>
      <w:r w:rsidRPr="004C3700">
        <w:rPr>
          <w:rFonts w:ascii="Times New Roman" w:hAnsi="Times New Roman"/>
          <w:color w:val="auto"/>
          <w:sz w:val="22"/>
          <w:szCs w:val="22"/>
        </w:rPr>
        <w:t xml:space="preserve">klauzula reprezentantów (z ograniczeniem Reprezentantów Ubezpieczającego do Zarządu Spółki i Prokurentów)– dopuszczalny </w:t>
      </w:r>
      <w:proofErr w:type="spellStart"/>
      <w:r w:rsidRPr="004C3700">
        <w:rPr>
          <w:rFonts w:ascii="Times New Roman" w:hAnsi="Times New Roman"/>
          <w:color w:val="auto"/>
          <w:sz w:val="22"/>
          <w:szCs w:val="22"/>
        </w:rPr>
        <w:t>podl</w:t>
      </w:r>
      <w:r w:rsidR="00796E68">
        <w:rPr>
          <w:rFonts w:ascii="Times New Roman" w:hAnsi="Times New Roman"/>
          <w:color w:val="auto"/>
          <w:sz w:val="22"/>
          <w:szCs w:val="22"/>
        </w:rPr>
        <w:t>imit</w:t>
      </w:r>
      <w:proofErr w:type="spellEnd"/>
      <w:r w:rsidR="00796E68">
        <w:rPr>
          <w:rFonts w:ascii="Times New Roman" w:hAnsi="Times New Roman"/>
          <w:color w:val="auto"/>
          <w:sz w:val="22"/>
          <w:szCs w:val="22"/>
        </w:rPr>
        <w:t xml:space="preserve"> odpowiedzialności: 2</w:t>
      </w:r>
      <w:r w:rsidRPr="004C3700">
        <w:rPr>
          <w:rFonts w:ascii="Times New Roman" w:hAnsi="Times New Roman"/>
          <w:color w:val="auto"/>
          <w:sz w:val="22"/>
          <w:szCs w:val="22"/>
        </w:rPr>
        <w:t>.</w:t>
      </w:r>
      <w:r w:rsidR="00F30D88">
        <w:rPr>
          <w:rFonts w:ascii="Times New Roman" w:hAnsi="Times New Roman"/>
          <w:color w:val="auto"/>
          <w:sz w:val="22"/>
          <w:szCs w:val="22"/>
        </w:rPr>
        <w:t>0</w:t>
      </w:r>
      <w:r w:rsidRPr="004C3700">
        <w:rPr>
          <w:rFonts w:ascii="Times New Roman" w:hAnsi="Times New Roman"/>
          <w:color w:val="auto"/>
          <w:sz w:val="22"/>
          <w:szCs w:val="22"/>
        </w:rPr>
        <w:t xml:space="preserve">00.000,00 PLN na jedno </w:t>
      </w:r>
      <w:r w:rsidRPr="008E7D58">
        <w:rPr>
          <w:rFonts w:ascii="Times New Roman" w:hAnsi="Times New Roman"/>
          <w:color w:val="auto"/>
          <w:sz w:val="22"/>
          <w:szCs w:val="22"/>
        </w:rPr>
        <w:t>i wszystkie zdarzenia w okresie ubezpieczenia</w:t>
      </w:r>
      <w:r w:rsidR="00D219B8" w:rsidRPr="008E7D58">
        <w:rPr>
          <w:rFonts w:ascii="Times New Roman" w:hAnsi="Times New Roman"/>
          <w:color w:val="auto"/>
          <w:sz w:val="22"/>
          <w:szCs w:val="22"/>
        </w:rPr>
        <w:t>,</w:t>
      </w:r>
    </w:p>
    <w:p w14:paraId="01669018" w14:textId="5CBF5339" w:rsidR="006731C7" w:rsidRPr="00DF373D" w:rsidRDefault="006731C7" w:rsidP="004C37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 xml:space="preserve">Wykonawca zobowiązany jest przedstawić Zamawiającemu oryginał lub kopię poświadczoną przez Wykonawcę za zgodność z oryginałem każdej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, o jakiej mowa w niniejszym paragrafie, w ciągu 7 (słownie: siedmiu) dni od dnia zawarcia </w:t>
      </w:r>
      <w:r w:rsidR="00741866" w:rsidRPr="00DF373D">
        <w:rPr>
          <w:rFonts w:ascii="Times New Roman" w:eastAsia="Times New Roman" w:hAnsi="Times New Roman"/>
          <w:lang w:eastAsia="pl-PL"/>
        </w:rPr>
        <w:t>u</w:t>
      </w:r>
      <w:r w:rsidRPr="00DF373D">
        <w:rPr>
          <w:rFonts w:ascii="Times New Roman" w:eastAsia="Times New Roman" w:hAnsi="Times New Roman"/>
          <w:lang w:eastAsia="pl-PL"/>
        </w:rPr>
        <w:t xml:space="preserve">mowy oraz utrzymywać i przedstawiać bez wezwania </w:t>
      </w:r>
      <w:r w:rsidR="004C3700">
        <w:rPr>
          <w:rFonts w:ascii="Times New Roman" w:eastAsia="Times New Roman" w:hAnsi="Times New Roman"/>
          <w:lang w:eastAsia="pl-PL"/>
        </w:rPr>
        <w:t>umowę</w:t>
      </w:r>
      <w:r w:rsidR="00741866" w:rsidRPr="00DF373D">
        <w:rPr>
          <w:rFonts w:ascii="Times New Roman" w:eastAsia="Times New Roman" w:hAnsi="Times New Roman"/>
          <w:lang w:eastAsia="pl-PL"/>
        </w:rPr>
        <w:t xml:space="preserve"> ubezpieczenia</w:t>
      </w:r>
      <w:r w:rsidRPr="00DF373D">
        <w:rPr>
          <w:rFonts w:ascii="Times New Roman" w:eastAsia="Times New Roman" w:hAnsi="Times New Roman"/>
          <w:lang w:eastAsia="pl-PL"/>
        </w:rPr>
        <w:t xml:space="preserve"> przez cały okres trwania </w:t>
      </w:r>
      <w:r w:rsidR="00741866" w:rsidRPr="00DF373D">
        <w:rPr>
          <w:rFonts w:ascii="Times New Roman" w:eastAsia="Times New Roman" w:hAnsi="Times New Roman"/>
          <w:lang w:eastAsia="pl-PL"/>
        </w:rPr>
        <w:t>u</w:t>
      </w:r>
      <w:r w:rsidRPr="00DF373D">
        <w:rPr>
          <w:rFonts w:ascii="Times New Roman" w:eastAsia="Times New Roman" w:hAnsi="Times New Roman"/>
          <w:lang w:eastAsia="pl-PL"/>
        </w:rPr>
        <w:t xml:space="preserve">mowy. </w:t>
      </w:r>
      <w:r w:rsidRPr="00DF373D">
        <w:rPr>
          <w:rFonts w:ascii="Times New Roman" w:hAnsi="Times New Roman"/>
          <w:lang w:eastAsia="pl-PL"/>
        </w:rPr>
        <w:t xml:space="preserve"> Kopia każdej kolejnej zawartej przez Wykonawcę </w:t>
      </w:r>
      <w:r w:rsidR="00741866" w:rsidRPr="00DF373D">
        <w:rPr>
          <w:rFonts w:ascii="Times New Roman" w:hAnsi="Times New Roman"/>
          <w:lang w:eastAsia="pl-PL"/>
        </w:rPr>
        <w:t>umowy ubezpieczenia</w:t>
      </w:r>
      <w:r w:rsidRPr="00DF373D">
        <w:rPr>
          <w:rFonts w:ascii="Times New Roman" w:hAnsi="Times New Roman"/>
          <w:lang w:eastAsia="pl-PL"/>
        </w:rPr>
        <w:t xml:space="preserve"> wraz z dowodem opłaty składki winna zostać dostarczona Zamawiającemu w ciągu  7 (słownie: siedem) dni </w:t>
      </w:r>
      <w:r w:rsidRPr="00DF373D">
        <w:rPr>
          <w:rFonts w:ascii="Times New Roman" w:eastAsia="Times New Roman" w:hAnsi="Times New Roman"/>
          <w:lang w:eastAsia="pl-PL"/>
        </w:rPr>
        <w:t xml:space="preserve">od dnia zawarcia wznowienia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. W przypadku uchybienia w/w obowiązkowi, oraz gdy dostarczona przez Wykonawcę </w:t>
      </w:r>
      <w:r w:rsidR="00741866" w:rsidRPr="00DF373D">
        <w:rPr>
          <w:rFonts w:ascii="Times New Roman" w:eastAsia="Times New Roman" w:hAnsi="Times New Roman"/>
          <w:lang w:eastAsia="pl-PL"/>
        </w:rPr>
        <w:t>umowa ubezpieczenia</w:t>
      </w:r>
      <w:r w:rsidRPr="00DF373D">
        <w:rPr>
          <w:rFonts w:ascii="Times New Roman" w:eastAsia="Times New Roman" w:hAnsi="Times New Roman"/>
          <w:lang w:eastAsia="pl-PL"/>
        </w:rPr>
        <w:t xml:space="preserve"> nie będzie spełniać określonych przez Zamawiającego wymogów lub zawierać inne niekorzystne rynkowo zapisy dla jakości ochrony ubezpieczeniowej, Zamawiający zgłosi Wykonawcy stosowne uwagi, które ten zobowiązany będzie uwzględnić, korygując zawartą </w:t>
      </w:r>
      <w:r w:rsidR="00741866" w:rsidRPr="00DF373D">
        <w:rPr>
          <w:rFonts w:ascii="Times New Roman" w:eastAsia="Times New Roman" w:hAnsi="Times New Roman"/>
          <w:lang w:eastAsia="pl-PL"/>
        </w:rPr>
        <w:t>umowę ubezpieczenia</w:t>
      </w:r>
      <w:r w:rsidRPr="00DF373D">
        <w:rPr>
          <w:rFonts w:ascii="Times New Roman" w:eastAsia="Times New Roman" w:hAnsi="Times New Roman"/>
          <w:lang w:eastAsia="pl-PL"/>
        </w:rPr>
        <w:t xml:space="preserve"> lub zawierając nową, w terminie 7 (słownie: siedmiu) dni od dnia otrzymania uwag Zamawiającego. Po bezskutecznym upływie tego terminu Zamawiającemu przysługuje uprawnienie do zawarcia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na warunkach nie gorszych niż wskazanych w niniejszym paragrafie na koszt Wykonawcy na okres do 12 (słownie: dwunastu) miesięcy, bez konieczności uzyskiwania dodatkowej zgody sądu. Wykonawca zobowiązuje się do pokrycia wszelkich kosztów związanych z zawarciem </w:t>
      </w:r>
      <w:r w:rsidR="00741866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w terminie 7 (siedmiu ) dni</w:t>
      </w:r>
      <w:r w:rsidR="004C3700">
        <w:rPr>
          <w:rFonts w:ascii="Times New Roman" w:eastAsia="Times New Roman" w:hAnsi="Times New Roman"/>
          <w:lang w:eastAsia="pl-PL"/>
        </w:rPr>
        <w:t xml:space="preserve"> od dnia otrzymania stosownej noty obciążeniowej</w:t>
      </w:r>
      <w:r w:rsidRPr="00DF373D">
        <w:rPr>
          <w:rFonts w:ascii="Times New Roman" w:eastAsia="Times New Roman" w:hAnsi="Times New Roman"/>
          <w:lang w:eastAsia="pl-PL"/>
        </w:rPr>
        <w:t>.</w:t>
      </w:r>
    </w:p>
    <w:p w14:paraId="56B28A5C" w14:textId="3224C7F1" w:rsidR="006731C7" w:rsidRPr="00DF373D" w:rsidRDefault="006731C7" w:rsidP="004C37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>Wykonawca zobowiązany jest przestrzegać obo</w:t>
      </w:r>
      <w:r w:rsidR="004C3700">
        <w:rPr>
          <w:rFonts w:ascii="Times New Roman" w:eastAsia="Times New Roman" w:hAnsi="Times New Roman"/>
          <w:lang w:eastAsia="pl-PL"/>
        </w:rPr>
        <w:t>wiązków wynikających z zawartej</w:t>
      </w:r>
      <w:r w:rsidRPr="00DF373D">
        <w:rPr>
          <w:rFonts w:ascii="Times New Roman" w:eastAsia="Times New Roman" w:hAnsi="Times New Roman"/>
          <w:lang w:eastAsia="pl-PL"/>
        </w:rPr>
        <w:t xml:space="preserve"> </w:t>
      </w:r>
      <w:r w:rsidR="004C3700">
        <w:rPr>
          <w:rFonts w:ascii="Times New Roman" w:eastAsia="Times New Roman" w:hAnsi="Times New Roman"/>
          <w:lang w:eastAsia="pl-PL"/>
        </w:rPr>
        <w:t>umo</w:t>
      </w:r>
      <w:r w:rsidR="00DB0CFD" w:rsidRPr="00DF373D">
        <w:rPr>
          <w:rFonts w:ascii="Times New Roman" w:eastAsia="Times New Roman" w:hAnsi="Times New Roman"/>
          <w:lang w:eastAsia="pl-PL"/>
        </w:rPr>
        <w:t>w</w:t>
      </w:r>
      <w:r w:rsidR="004C3700">
        <w:rPr>
          <w:rFonts w:ascii="Times New Roman" w:eastAsia="Times New Roman" w:hAnsi="Times New Roman"/>
          <w:lang w:eastAsia="pl-PL"/>
        </w:rPr>
        <w:t>y</w:t>
      </w:r>
      <w:r w:rsidR="00DB0CFD" w:rsidRPr="00DF373D">
        <w:rPr>
          <w:rFonts w:ascii="Times New Roman" w:eastAsia="Times New Roman" w:hAnsi="Times New Roman"/>
          <w:lang w:eastAsia="pl-PL"/>
        </w:rPr>
        <w:t xml:space="preserve"> ubezpieczenia </w:t>
      </w:r>
      <w:r w:rsidRPr="00DF373D">
        <w:rPr>
          <w:rFonts w:ascii="Times New Roman" w:eastAsia="Times New Roman" w:hAnsi="Times New Roman"/>
          <w:lang w:eastAsia="pl-PL"/>
        </w:rPr>
        <w:t>oraz OWU</w:t>
      </w:r>
      <w:r w:rsidR="004C3700">
        <w:rPr>
          <w:rFonts w:ascii="Times New Roman" w:eastAsia="Times New Roman" w:hAnsi="Times New Roman"/>
          <w:lang w:eastAsia="pl-PL"/>
        </w:rPr>
        <w:t xml:space="preserve"> stanowiących podstawę zawartej</w:t>
      </w:r>
      <w:r w:rsidRPr="00DF373D">
        <w:rPr>
          <w:rFonts w:ascii="Times New Roman" w:eastAsia="Times New Roman" w:hAnsi="Times New Roman"/>
          <w:lang w:eastAsia="pl-PL"/>
        </w:rPr>
        <w:t xml:space="preserve"> </w:t>
      </w:r>
      <w:r w:rsidR="004C3700">
        <w:rPr>
          <w:rFonts w:ascii="Times New Roman" w:eastAsia="Times New Roman" w:hAnsi="Times New Roman"/>
          <w:lang w:eastAsia="pl-PL"/>
        </w:rPr>
        <w:t>umowy</w:t>
      </w:r>
      <w:r w:rsidR="00DB0CFD" w:rsidRPr="00DF373D">
        <w:rPr>
          <w:rFonts w:ascii="Times New Roman" w:eastAsia="Times New Roman" w:hAnsi="Times New Roman"/>
          <w:lang w:eastAsia="pl-PL"/>
        </w:rPr>
        <w:t xml:space="preserve"> ubezpieczenia</w:t>
      </w:r>
      <w:r w:rsidRPr="00DF373D">
        <w:rPr>
          <w:rFonts w:ascii="Times New Roman" w:eastAsia="Times New Roman" w:hAnsi="Times New Roman"/>
          <w:lang w:eastAsia="pl-PL"/>
        </w:rPr>
        <w:t>.</w:t>
      </w:r>
    </w:p>
    <w:p w14:paraId="71D962A8" w14:textId="1CAA9EA2" w:rsidR="001F7A75" w:rsidRPr="00DF373D" w:rsidRDefault="006731C7" w:rsidP="004C37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DF373D">
        <w:rPr>
          <w:rFonts w:ascii="Times New Roman" w:eastAsia="Times New Roman" w:hAnsi="Times New Roman"/>
          <w:lang w:eastAsia="pl-PL"/>
        </w:rPr>
        <w:t xml:space="preserve">Wszystkie koszty związane z zawarciem, posiadaniem, przedstawieniem Zamawiającemu dowodu zawarcia </w:t>
      </w:r>
      <w:r w:rsidR="00DB0CFD" w:rsidRPr="00DF373D">
        <w:rPr>
          <w:rFonts w:ascii="Times New Roman" w:eastAsia="Times New Roman" w:hAnsi="Times New Roman"/>
          <w:lang w:eastAsia="pl-PL"/>
        </w:rPr>
        <w:t>umowy ubezpieczenia</w:t>
      </w:r>
      <w:r w:rsidRPr="00DF373D">
        <w:rPr>
          <w:rFonts w:ascii="Times New Roman" w:eastAsia="Times New Roman" w:hAnsi="Times New Roman"/>
          <w:lang w:eastAsia="pl-PL"/>
        </w:rPr>
        <w:t xml:space="preserve"> oraz opłacaniem składek ubezpieczeniowych obciążają Wykonawcę.</w:t>
      </w:r>
    </w:p>
    <w:p w14:paraId="1B5B2F6E" w14:textId="22869237" w:rsidR="006731C7" w:rsidRDefault="006731C7">
      <w:pPr>
        <w:pStyle w:val="Tekstpodstawowywcity"/>
        <w:numPr>
          <w:ilvl w:val="0"/>
          <w:numId w:val="1"/>
        </w:numPr>
        <w:tabs>
          <w:tab w:val="clear" w:pos="1080"/>
        </w:tabs>
        <w:rPr>
          <w:rFonts w:ascii="Times New Roman" w:hAnsi="Times New Roman"/>
          <w:sz w:val="22"/>
          <w:szCs w:val="22"/>
        </w:rPr>
      </w:pPr>
      <w:r w:rsidRPr="00DF373D">
        <w:rPr>
          <w:rFonts w:ascii="Times New Roman" w:hAnsi="Times New Roman"/>
          <w:sz w:val="22"/>
          <w:szCs w:val="22"/>
        </w:rPr>
        <w:t>W przypadku szkody wyrządzonej Zamawiającemu nie pokrytej przez ubezpieczyciela, Wykonawca zobowiązuje się ją zrekompensować we własnym zakresie. W przypadku szkód pokrytych przez ubezpieczyciela z potrąceniem franszyzy lub udziału własnego, Wykonawca zobowiązuje się pokryć kwotę franszyzy lub udziału własnego we własnym zakresie.</w:t>
      </w:r>
    </w:p>
    <w:p w14:paraId="72EC7269" w14:textId="77777777" w:rsidR="008E7D58" w:rsidRPr="008E7D58" w:rsidRDefault="008E7D58" w:rsidP="008E7D58">
      <w:pPr>
        <w:pStyle w:val="Akapitzlist"/>
        <w:numPr>
          <w:ilvl w:val="0"/>
          <w:numId w:val="1"/>
        </w:numPr>
        <w:jc w:val="both"/>
        <w:rPr>
          <w:rFonts w:ascii="Times New Roman" w:eastAsiaTheme="minorHAnsi" w:hAnsi="Times New Roman"/>
          <w:color w:val="auto"/>
          <w:sz w:val="22"/>
          <w:szCs w:val="22"/>
        </w:rPr>
      </w:pPr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>Dodatkowo, w przypadku prowadzeniu prac przy użyciu jednostek pływających, Wykonawca zobowiązany jest do zawarcia i utrzymywania przez cały okres obowiązywania  Umowy, Umowy Ubezpieczenia odpowiedzialności cywilnej Armatora jednostek pływających, która obejmować winna swoim zakresem ryzyka kolizyjne oraz ryzyka uszkodzenia obiektów stałych i pływających tzw. FFO (</w:t>
      </w:r>
      <w:proofErr w:type="spellStart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>Fixed</w:t>
      </w:r>
      <w:proofErr w:type="spellEnd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 xml:space="preserve"> and </w:t>
      </w:r>
      <w:proofErr w:type="spellStart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>Floating</w:t>
      </w:r>
      <w:proofErr w:type="spellEnd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 xml:space="preserve"> </w:t>
      </w:r>
      <w:proofErr w:type="spellStart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>objects</w:t>
      </w:r>
      <w:proofErr w:type="spellEnd"/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>), w szczególnością w związku z realizacją przez jednostki prac będących przedmiotem Umowy. Suma gwarancyjna w Umowie Ubezpieczenia odpowiedzialności cywilnej armatora jednostek pływając</w:t>
      </w:r>
      <w:r>
        <w:rPr>
          <w:rFonts w:ascii="Times New Roman" w:hAnsi="Times New Roman"/>
          <w:color w:val="auto"/>
          <w:sz w:val="22"/>
          <w:szCs w:val="22"/>
          <w:lang w:val="x-none"/>
        </w:rPr>
        <w:t>ych winna być nie mniejsza niż 2</w:t>
      </w:r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 xml:space="preserve">00.000 (słownie: </w:t>
      </w:r>
      <w:r>
        <w:rPr>
          <w:rFonts w:ascii="Times New Roman" w:hAnsi="Times New Roman"/>
          <w:color w:val="auto"/>
          <w:sz w:val="22"/>
          <w:szCs w:val="22"/>
        </w:rPr>
        <w:t>dwieście</w:t>
      </w:r>
      <w:r w:rsidRPr="008E7D58">
        <w:rPr>
          <w:rFonts w:ascii="Times New Roman" w:hAnsi="Times New Roman"/>
          <w:color w:val="auto"/>
          <w:sz w:val="22"/>
          <w:szCs w:val="22"/>
          <w:lang w:val="x-none"/>
        </w:rPr>
        <w:t xml:space="preserve"> tysięcy) złotych na każdą jednostkę, na jeden i na wszystkie wypadki w każdym rocznym okresie ubezpieczenia. Wyżej wymieniona Umowa Ubezpieczenia oraz każda następna stanowiąca wznowienie na kolejny okres ubezpieczenia winna zostać przedłożona Zamawiającemu nie później niż w terminie 7 dni od daty rozpoczęcia okresu odpowiedzialności wznawianej Umowy Ubezpieczenia, bez wezwania. W przypadku przekazania realizacji prac przy użyciu jednostek pływających innemu podmiotowi, stosowną Umowę Ubezpieczenia winien posiadać i przedstawić Zamawiającemu taki podmiot, bez wezwania.</w:t>
      </w:r>
    </w:p>
    <w:p w14:paraId="1437486F" w14:textId="468AB5BA" w:rsidR="006731C7" w:rsidRPr="00DF373D" w:rsidRDefault="006731C7" w:rsidP="004C3700">
      <w:pPr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DF373D">
        <w:rPr>
          <w:rFonts w:ascii="Times New Roman" w:hAnsi="Times New Roman"/>
        </w:rPr>
        <w:t>Wszelkie odstępstwa od powyższych zakresów muszą być każdorazowo, pisemnie zaakceptowane przez</w:t>
      </w:r>
      <w:r w:rsidRPr="00DF373D">
        <w:rPr>
          <w:rFonts w:ascii="Times New Roman" w:hAnsi="Times New Roman"/>
          <w:lang w:val="x-none"/>
        </w:rPr>
        <w:t xml:space="preserve"> </w:t>
      </w:r>
      <w:r w:rsidRPr="00DF373D">
        <w:rPr>
          <w:rFonts w:ascii="Times New Roman" w:hAnsi="Times New Roman"/>
        </w:rPr>
        <w:t>Zamawiającego.</w:t>
      </w:r>
    </w:p>
    <w:p w14:paraId="3B901888" w14:textId="77777777" w:rsidR="006731C7" w:rsidRPr="001F7A75" w:rsidRDefault="006731C7">
      <w:pPr>
        <w:pStyle w:val="Tekstpodstawowywcity"/>
        <w:tabs>
          <w:tab w:val="clear" w:pos="1080"/>
        </w:tabs>
        <w:ind w:left="360" w:firstLine="0"/>
        <w:rPr>
          <w:rFonts w:ascii="Times New Roman" w:hAnsi="Times New Roman"/>
          <w:sz w:val="22"/>
          <w:szCs w:val="22"/>
        </w:rPr>
      </w:pPr>
    </w:p>
    <w:p w14:paraId="3F891C13" w14:textId="77777777" w:rsidR="00F86862" w:rsidRPr="00345403" w:rsidRDefault="00F86862" w:rsidP="004C37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86862" w:rsidRPr="00345403" w:rsidSect="004B0D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5AF3C" w14:textId="77777777" w:rsidR="00F729FD" w:rsidRDefault="00F729FD" w:rsidP="00F729FD">
      <w:pPr>
        <w:spacing w:after="0" w:line="240" w:lineRule="auto"/>
      </w:pPr>
      <w:r>
        <w:separator/>
      </w:r>
    </w:p>
  </w:endnote>
  <w:endnote w:type="continuationSeparator" w:id="0">
    <w:p w14:paraId="1CFEDF42" w14:textId="77777777" w:rsidR="00F729FD" w:rsidRDefault="00F729FD" w:rsidP="00F72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5B13" w14:textId="77777777" w:rsidR="00F729FD" w:rsidRDefault="00F729FD" w:rsidP="00F729FD">
      <w:pPr>
        <w:spacing w:after="0" w:line="240" w:lineRule="auto"/>
      </w:pPr>
      <w:r>
        <w:separator/>
      </w:r>
    </w:p>
  </w:footnote>
  <w:footnote w:type="continuationSeparator" w:id="0">
    <w:p w14:paraId="33073F88" w14:textId="77777777" w:rsidR="00F729FD" w:rsidRDefault="00F729FD" w:rsidP="00F72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618A5" w14:textId="459AE054" w:rsidR="00F729FD" w:rsidRDefault="00F729FD" w:rsidP="00F729FD">
    <w:pPr>
      <w:pStyle w:val="Nagwek"/>
      <w:jc w:val="center"/>
    </w:pPr>
    <w:bookmarkStart w:id="2" w:name="_Hlk192752450"/>
    <w:r w:rsidRPr="00F729FD">
      <w:rPr>
        <w:rFonts w:ascii="Times New Roman" w:hAnsi="Times New Roman"/>
        <w:i/>
        <w:iCs/>
        <w:color w:val="000000"/>
        <w:sz w:val="20"/>
        <w:szCs w:val="20"/>
      </w:rPr>
      <w:t>Remont Wyspy Cumowniczej przy Pirsie Rudowym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93137"/>
    <w:multiLevelType w:val="hybridMultilevel"/>
    <w:tmpl w:val="B4C8F57C"/>
    <w:lvl w:ilvl="0" w:tplc="1AD6DB96">
      <w:start w:val="1"/>
      <w:numFmt w:val="decimal"/>
      <w:lvlText w:val="%1."/>
      <w:lvlJc w:val="left"/>
      <w:pPr>
        <w:ind w:left="720" w:hanging="360"/>
      </w:pPr>
    </w:lvl>
    <w:lvl w:ilvl="1" w:tplc="9FD4278A">
      <w:start w:val="1"/>
      <w:numFmt w:val="decimal"/>
      <w:lvlText w:val="%2."/>
      <w:lvlJc w:val="left"/>
      <w:pPr>
        <w:ind w:left="720" w:hanging="360"/>
      </w:pPr>
    </w:lvl>
    <w:lvl w:ilvl="2" w:tplc="39EEE7C2">
      <w:start w:val="1"/>
      <w:numFmt w:val="decimal"/>
      <w:lvlText w:val="%3."/>
      <w:lvlJc w:val="left"/>
      <w:pPr>
        <w:ind w:left="720" w:hanging="360"/>
      </w:pPr>
    </w:lvl>
    <w:lvl w:ilvl="3" w:tplc="BF884896">
      <w:start w:val="1"/>
      <w:numFmt w:val="decimal"/>
      <w:lvlText w:val="%4."/>
      <w:lvlJc w:val="left"/>
      <w:pPr>
        <w:ind w:left="720" w:hanging="360"/>
      </w:pPr>
    </w:lvl>
    <w:lvl w:ilvl="4" w:tplc="123CCEB2">
      <w:start w:val="1"/>
      <w:numFmt w:val="decimal"/>
      <w:lvlText w:val="%5."/>
      <w:lvlJc w:val="left"/>
      <w:pPr>
        <w:ind w:left="720" w:hanging="360"/>
      </w:pPr>
    </w:lvl>
    <w:lvl w:ilvl="5" w:tplc="02EA1880">
      <w:start w:val="1"/>
      <w:numFmt w:val="decimal"/>
      <w:lvlText w:val="%6."/>
      <w:lvlJc w:val="left"/>
      <w:pPr>
        <w:ind w:left="720" w:hanging="360"/>
      </w:pPr>
    </w:lvl>
    <w:lvl w:ilvl="6" w:tplc="460827A0">
      <w:start w:val="1"/>
      <w:numFmt w:val="decimal"/>
      <w:lvlText w:val="%7."/>
      <w:lvlJc w:val="left"/>
      <w:pPr>
        <w:ind w:left="720" w:hanging="360"/>
      </w:pPr>
    </w:lvl>
    <w:lvl w:ilvl="7" w:tplc="82D0FAB8">
      <w:start w:val="1"/>
      <w:numFmt w:val="decimal"/>
      <w:lvlText w:val="%8."/>
      <w:lvlJc w:val="left"/>
      <w:pPr>
        <w:ind w:left="720" w:hanging="360"/>
      </w:pPr>
    </w:lvl>
    <w:lvl w:ilvl="8" w:tplc="FE302138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16FE33AE"/>
    <w:multiLevelType w:val="hybridMultilevel"/>
    <w:tmpl w:val="1786AE0C"/>
    <w:lvl w:ilvl="0" w:tplc="04150011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20674295"/>
    <w:multiLevelType w:val="multilevel"/>
    <w:tmpl w:val="E4F2A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9D1C14"/>
    <w:multiLevelType w:val="multilevel"/>
    <w:tmpl w:val="C620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165199E"/>
    <w:multiLevelType w:val="hybridMultilevel"/>
    <w:tmpl w:val="A8240A72"/>
    <w:lvl w:ilvl="0" w:tplc="848C78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E0D19"/>
    <w:multiLevelType w:val="multilevel"/>
    <w:tmpl w:val="6ED688B6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 w15:restartNumberingAfterBreak="0">
    <w:nsid w:val="3AD36A25"/>
    <w:multiLevelType w:val="hybridMultilevel"/>
    <w:tmpl w:val="DAD80FD8"/>
    <w:lvl w:ilvl="0" w:tplc="AF80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8157E"/>
    <w:multiLevelType w:val="hybridMultilevel"/>
    <w:tmpl w:val="353A485A"/>
    <w:lvl w:ilvl="0" w:tplc="EDAA511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BB5A1C"/>
    <w:multiLevelType w:val="hybridMultilevel"/>
    <w:tmpl w:val="33301926"/>
    <w:lvl w:ilvl="0" w:tplc="1D3A91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A70BD"/>
    <w:multiLevelType w:val="hybridMultilevel"/>
    <w:tmpl w:val="10A4ACA2"/>
    <w:lvl w:ilvl="0" w:tplc="514E9706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406EC"/>
    <w:multiLevelType w:val="multilevel"/>
    <w:tmpl w:val="EA4620F8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</w:lvl>
    <w:lvl w:ilvl="1">
      <w:start w:val="1"/>
      <w:numFmt w:val="decimal"/>
      <w:lvlText w:val="%2)"/>
      <w:lvlJc w:val="left"/>
      <w:pPr>
        <w:ind w:left="851" w:hanging="426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276" w:hanging="425"/>
      </w:pPr>
    </w:lvl>
    <w:lvl w:ilvl="3">
      <w:start w:val="1"/>
      <w:numFmt w:val="none"/>
      <w:lvlText w:val="-"/>
      <w:lvlJc w:val="left"/>
      <w:pPr>
        <w:ind w:left="1701" w:hanging="425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-32767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cs="Times New Roman"/>
      </w:rPr>
    </w:lvl>
    <w:lvl w:ilvl="8">
      <w:start w:val="1"/>
      <w:numFmt w:val="none"/>
      <w:lvlText w:val=""/>
      <w:lvlJc w:val="right"/>
      <w:pPr>
        <w:ind w:left="-32767" w:firstLine="0"/>
      </w:pPr>
      <w:rPr>
        <w:rFonts w:cs="Times New Roman"/>
      </w:rPr>
    </w:lvl>
  </w:abstractNum>
  <w:abstractNum w:abstractNumId="11" w15:restartNumberingAfterBreak="0">
    <w:nsid w:val="65583DA1"/>
    <w:multiLevelType w:val="hybridMultilevel"/>
    <w:tmpl w:val="39F845CC"/>
    <w:lvl w:ilvl="0" w:tplc="40402CC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EF2A9D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15CAE"/>
    <w:multiLevelType w:val="hybridMultilevel"/>
    <w:tmpl w:val="9ACCEEE6"/>
    <w:lvl w:ilvl="0" w:tplc="740A485E">
      <w:start w:val="1"/>
      <w:numFmt w:val="decimal"/>
      <w:lvlText w:val="%1."/>
      <w:lvlJc w:val="left"/>
      <w:pPr>
        <w:ind w:left="720" w:hanging="360"/>
      </w:pPr>
    </w:lvl>
    <w:lvl w:ilvl="1" w:tplc="AC802F72">
      <w:start w:val="1"/>
      <w:numFmt w:val="decimal"/>
      <w:lvlText w:val="%2."/>
      <w:lvlJc w:val="left"/>
      <w:pPr>
        <w:ind w:left="720" w:hanging="360"/>
      </w:pPr>
    </w:lvl>
    <w:lvl w:ilvl="2" w:tplc="9BBA9D86">
      <w:start w:val="1"/>
      <w:numFmt w:val="decimal"/>
      <w:lvlText w:val="%3."/>
      <w:lvlJc w:val="left"/>
      <w:pPr>
        <w:ind w:left="720" w:hanging="360"/>
      </w:pPr>
    </w:lvl>
    <w:lvl w:ilvl="3" w:tplc="A33A584C">
      <w:start w:val="1"/>
      <w:numFmt w:val="decimal"/>
      <w:lvlText w:val="%4."/>
      <w:lvlJc w:val="left"/>
      <w:pPr>
        <w:ind w:left="720" w:hanging="360"/>
      </w:pPr>
    </w:lvl>
    <w:lvl w:ilvl="4" w:tplc="F432DDEA">
      <w:start w:val="1"/>
      <w:numFmt w:val="decimal"/>
      <w:lvlText w:val="%5."/>
      <w:lvlJc w:val="left"/>
      <w:pPr>
        <w:ind w:left="720" w:hanging="360"/>
      </w:pPr>
    </w:lvl>
    <w:lvl w:ilvl="5" w:tplc="E34A41CC">
      <w:start w:val="1"/>
      <w:numFmt w:val="decimal"/>
      <w:lvlText w:val="%6."/>
      <w:lvlJc w:val="left"/>
      <w:pPr>
        <w:ind w:left="720" w:hanging="360"/>
      </w:pPr>
    </w:lvl>
    <w:lvl w:ilvl="6" w:tplc="BA6C323A">
      <w:start w:val="1"/>
      <w:numFmt w:val="decimal"/>
      <w:lvlText w:val="%7."/>
      <w:lvlJc w:val="left"/>
      <w:pPr>
        <w:ind w:left="720" w:hanging="360"/>
      </w:pPr>
    </w:lvl>
    <w:lvl w:ilvl="7" w:tplc="52ECBA5A">
      <w:start w:val="1"/>
      <w:numFmt w:val="decimal"/>
      <w:lvlText w:val="%8."/>
      <w:lvlJc w:val="left"/>
      <w:pPr>
        <w:ind w:left="720" w:hanging="360"/>
      </w:pPr>
    </w:lvl>
    <w:lvl w:ilvl="8" w:tplc="A8E87566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66B61BBA"/>
    <w:multiLevelType w:val="hybridMultilevel"/>
    <w:tmpl w:val="D2BADCCC"/>
    <w:lvl w:ilvl="0" w:tplc="0415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40A0624"/>
    <w:multiLevelType w:val="hybridMultilevel"/>
    <w:tmpl w:val="8652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A27A7"/>
    <w:multiLevelType w:val="multilevel"/>
    <w:tmpl w:val="B6E6065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  <w:bCs/>
        <w:caps w:val="0"/>
        <w:strike w:val="0"/>
        <w:dstrike w:val="0"/>
        <w:vanish w:val="0"/>
        <w:vertAlign w:val="baseline"/>
      </w:rPr>
    </w:lvl>
    <w:lvl w:ilvl="3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A83F43"/>
    <w:multiLevelType w:val="hybridMultilevel"/>
    <w:tmpl w:val="EA40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40717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8888909">
    <w:abstractNumId w:val="17"/>
  </w:num>
  <w:num w:numId="2" w16cid:durableId="2081906140">
    <w:abstractNumId w:val="3"/>
  </w:num>
  <w:num w:numId="3" w16cid:durableId="1051802403">
    <w:abstractNumId w:val="1"/>
  </w:num>
  <w:num w:numId="4" w16cid:durableId="578946430">
    <w:abstractNumId w:val="16"/>
  </w:num>
  <w:num w:numId="5" w16cid:durableId="1079718295">
    <w:abstractNumId w:val="5"/>
  </w:num>
  <w:num w:numId="6" w16cid:durableId="295186061">
    <w:abstractNumId w:val="14"/>
  </w:num>
  <w:num w:numId="7" w16cid:durableId="1863668621">
    <w:abstractNumId w:val="15"/>
  </w:num>
  <w:num w:numId="8" w16cid:durableId="456724649">
    <w:abstractNumId w:val="4"/>
  </w:num>
  <w:num w:numId="9" w16cid:durableId="740103055">
    <w:abstractNumId w:val="7"/>
  </w:num>
  <w:num w:numId="10" w16cid:durableId="19285328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3424563">
    <w:abstractNumId w:val="6"/>
  </w:num>
  <w:num w:numId="12" w16cid:durableId="78332732">
    <w:abstractNumId w:val="8"/>
  </w:num>
  <w:num w:numId="13" w16cid:durableId="2106925633">
    <w:abstractNumId w:val="12"/>
  </w:num>
  <w:num w:numId="14" w16cid:durableId="1270970391">
    <w:abstractNumId w:val="0"/>
  </w:num>
  <w:num w:numId="15" w16cid:durableId="1358503158">
    <w:abstractNumId w:val="11"/>
  </w:num>
  <w:num w:numId="16" w16cid:durableId="1998264197">
    <w:abstractNumId w:val="13"/>
  </w:num>
  <w:num w:numId="17" w16cid:durableId="2125610821">
    <w:abstractNumId w:val="2"/>
  </w:num>
  <w:num w:numId="18" w16cid:durableId="90784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62"/>
    <w:rsid w:val="00002703"/>
    <w:rsid w:val="000278A4"/>
    <w:rsid w:val="00046DBB"/>
    <w:rsid w:val="00050186"/>
    <w:rsid w:val="00086441"/>
    <w:rsid w:val="000C6FA5"/>
    <w:rsid w:val="000E0E07"/>
    <w:rsid w:val="000F1161"/>
    <w:rsid w:val="000F44FF"/>
    <w:rsid w:val="00100F68"/>
    <w:rsid w:val="0012081F"/>
    <w:rsid w:val="0012164F"/>
    <w:rsid w:val="001A1A27"/>
    <w:rsid w:val="001A3340"/>
    <w:rsid w:val="001D0D4D"/>
    <w:rsid w:val="001D2B35"/>
    <w:rsid w:val="001E1D14"/>
    <w:rsid w:val="001E2CF9"/>
    <w:rsid w:val="001F7A75"/>
    <w:rsid w:val="0020457C"/>
    <w:rsid w:val="00226CDE"/>
    <w:rsid w:val="002433AD"/>
    <w:rsid w:val="00245FEA"/>
    <w:rsid w:val="00260ED0"/>
    <w:rsid w:val="00270621"/>
    <w:rsid w:val="00277282"/>
    <w:rsid w:val="00286572"/>
    <w:rsid w:val="002A5F2E"/>
    <w:rsid w:val="002A683D"/>
    <w:rsid w:val="002B21D0"/>
    <w:rsid w:val="002B5E68"/>
    <w:rsid w:val="002C288D"/>
    <w:rsid w:val="00312F95"/>
    <w:rsid w:val="00320C3B"/>
    <w:rsid w:val="00331ABC"/>
    <w:rsid w:val="00341C9E"/>
    <w:rsid w:val="00345403"/>
    <w:rsid w:val="00355263"/>
    <w:rsid w:val="003719E4"/>
    <w:rsid w:val="00373A29"/>
    <w:rsid w:val="003A4AAE"/>
    <w:rsid w:val="003B2DE0"/>
    <w:rsid w:val="003B7147"/>
    <w:rsid w:val="00404FD1"/>
    <w:rsid w:val="00405065"/>
    <w:rsid w:val="00411BA5"/>
    <w:rsid w:val="004342EE"/>
    <w:rsid w:val="00443CA0"/>
    <w:rsid w:val="00455314"/>
    <w:rsid w:val="004754E8"/>
    <w:rsid w:val="00475507"/>
    <w:rsid w:val="00483855"/>
    <w:rsid w:val="00496A68"/>
    <w:rsid w:val="004A2F48"/>
    <w:rsid w:val="004B0D34"/>
    <w:rsid w:val="004B5C6D"/>
    <w:rsid w:val="004C3700"/>
    <w:rsid w:val="004D32F3"/>
    <w:rsid w:val="004F3C5E"/>
    <w:rsid w:val="00505106"/>
    <w:rsid w:val="00511C8C"/>
    <w:rsid w:val="00541818"/>
    <w:rsid w:val="00565C3C"/>
    <w:rsid w:val="00597A12"/>
    <w:rsid w:val="005C42F9"/>
    <w:rsid w:val="005D0EF2"/>
    <w:rsid w:val="005E1646"/>
    <w:rsid w:val="005E4B70"/>
    <w:rsid w:val="005F0309"/>
    <w:rsid w:val="006017A6"/>
    <w:rsid w:val="00612ABD"/>
    <w:rsid w:val="00616F9C"/>
    <w:rsid w:val="006255DD"/>
    <w:rsid w:val="00637420"/>
    <w:rsid w:val="00660D3A"/>
    <w:rsid w:val="006731C7"/>
    <w:rsid w:val="0069446A"/>
    <w:rsid w:val="00715368"/>
    <w:rsid w:val="007369E2"/>
    <w:rsid w:val="00740F5D"/>
    <w:rsid w:val="00741866"/>
    <w:rsid w:val="00742439"/>
    <w:rsid w:val="007754E5"/>
    <w:rsid w:val="00786AD4"/>
    <w:rsid w:val="00790D18"/>
    <w:rsid w:val="00796E68"/>
    <w:rsid w:val="007A5675"/>
    <w:rsid w:val="007C3AE8"/>
    <w:rsid w:val="007D68DB"/>
    <w:rsid w:val="00801D73"/>
    <w:rsid w:val="0081461A"/>
    <w:rsid w:val="00830552"/>
    <w:rsid w:val="008470EA"/>
    <w:rsid w:val="008574AD"/>
    <w:rsid w:val="008876CF"/>
    <w:rsid w:val="00897B30"/>
    <w:rsid w:val="008B661C"/>
    <w:rsid w:val="008C3441"/>
    <w:rsid w:val="008C66CC"/>
    <w:rsid w:val="008D2BE7"/>
    <w:rsid w:val="008D56AD"/>
    <w:rsid w:val="008D6644"/>
    <w:rsid w:val="008E240F"/>
    <w:rsid w:val="008E7D58"/>
    <w:rsid w:val="008F6BE4"/>
    <w:rsid w:val="00900961"/>
    <w:rsid w:val="00907490"/>
    <w:rsid w:val="00931869"/>
    <w:rsid w:val="00934C53"/>
    <w:rsid w:val="009620E6"/>
    <w:rsid w:val="009645FF"/>
    <w:rsid w:val="009B407E"/>
    <w:rsid w:val="009F42E8"/>
    <w:rsid w:val="00A0721B"/>
    <w:rsid w:val="00A10E71"/>
    <w:rsid w:val="00A364E8"/>
    <w:rsid w:val="00A670E2"/>
    <w:rsid w:val="00A71800"/>
    <w:rsid w:val="00AB0570"/>
    <w:rsid w:val="00AB0991"/>
    <w:rsid w:val="00AB42C0"/>
    <w:rsid w:val="00AB6241"/>
    <w:rsid w:val="00AE0623"/>
    <w:rsid w:val="00B022D2"/>
    <w:rsid w:val="00B7003F"/>
    <w:rsid w:val="00B82C8F"/>
    <w:rsid w:val="00BB214F"/>
    <w:rsid w:val="00BE09D4"/>
    <w:rsid w:val="00BF4F26"/>
    <w:rsid w:val="00C0079B"/>
    <w:rsid w:val="00C33498"/>
    <w:rsid w:val="00C34BBD"/>
    <w:rsid w:val="00C7649D"/>
    <w:rsid w:val="00C77C04"/>
    <w:rsid w:val="00C97F08"/>
    <w:rsid w:val="00CC0B86"/>
    <w:rsid w:val="00CC25FD"/>
    <w:rsid w:val="00CD1BD4"/>
    <w:rsid w:val="00CF0BBA"/>
    <w:rsid w:val="00CF4B34"/>
    <w:rsid w:val="00D219B8"/>
    <w:rsid w:val="00D53D03"/>
    <w:rsid w:val="00D5630F"/>
    <w:rsid w:val="00D61406"/>
    <w:rsid w:val="00D63A51"/>
    <w:rsid w:val="00D716F3"/>
    <w:rsid w:val="00D862E6"/>
    <w:rsid w:val="00D9034F"/>
    <w:rsid w:val="00D9058E"/>
    <w:rsid w:val="00DB0CFD"/>
    <w:rsid w:val="00DB4953"/>
    <w:rsid w:val="00DB54C7"/>
    <w:rsid w:val="00DC68CD"/>
    <w:rsid w:val="00DE03BD"/>
    <w:rsid w:val="00DE1AAE"/>
    <w:rsid w:val="00DF373D"/>
    <w:rsid w:val="00E35EA3"/>
    <w:rsid w:val="00E742F7"/>
    <w:rsid w:val="00E76803"/>
    <w:rsid w:val="00E91758"/>
    <w:rsid w:val="00EA2CB1"/>
    <w:rsid w:val="00EB4C7F"/>
    <w:rsid w:val="00EC4778"/>
    <w:rsid w:val="00ED64E4"/>
    <w:rsid w:val="00ED739A"/>
    <w:rsid w:val="00EF705F"/>
    <w:rsid w:val="00F15685"/>
    <w:rsid w:val="00F30D88"/>
    <w:rsid w:val="00F30E1D"/>
    <w:rsid w:val="00F32A4B"/>
    <w:rsid w:val="00F35211"/>
    <w:rsid w:val="00F37384"/>
    <w:rsid w:val="00F729FD"/>
    <w:rsid w:val="00F74AFC"/>
    <w:rsid w:val="00F75D22"/>
    <w:rsid w:val="00F779D4"/>
    <w:rsid w:val="00F860A4"/>
    <w:rsid w:val="00F86862"/>
    <w:rsid w:val="00F91237"/>
    <w:rsid w:val="00F965E2"/>
    <w:rsid w:val="00FC5A01"/>
    <w:rsid w:val="00FD187A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D294"/>
  <w15:docId w15:val="{7E4C9DFF-94BA-4C63-84EF-68C3217D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86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nr,Alpha list"/>
    <w:basedOn w:val="Normalny"/>
    <w:link w:val="AkapitzlistZnak"/>
    <w:uiPriority w:val="34"/>
    <w:qFormat/>
    <w:rsid w:val="00F86862"/>
    <w:pPr>
      <w:spacing w:after="0" w:line="240" w:lineRule="auto"/>
      <w:ind w:left="720"/>
      <w:contextualSpacing/>
    </w:pPr>
    <w:rPr>
      <w:rFonts w:ascii="Verdana" w:eastAsia="Times New Roman" w:hAnsi="Verdana"/>
      <w:color w:val="4864A7"/>
      <w:sz w:val="24"/>
      <w:szCs w:val="24"/>
      <w:lang w:eastAsia="pl-PL"/>
    </w:rPr>
  </w:style>
  <w:style w:type="paragraph" w:customStyle="1" w:styleId="punkt1">
    <w:name w:val="punkt 1)"/>
    <w:rsid w:val="00F8686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10" w:lineRule="atLeast"/>
      <w:ind w:left="56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25">
    <w:name w:val="Font Style25"/>
    <w:uiPriority w:val="99"/>
    <w:rsid w:val="00F86862"/>
    <w:rPr>
      <w:rFonts w:ascii="Arial Narrow" w:hAnsi="Arial Narrow" w:cs="Arial Narrow" w:hint="default"/>
      <w:color w:val="000000"/>
      <w:sz w:val="20"/>
      <w:szCs w:val="20"/>
    </w:rPr>
  </w:style>
  <w:style w:type="character" w:customStyle="1" w:styleId="AkapitzlistZnak">
    <w:name w:val="Akapit z listą Znak"/>
    <w:aliases w:val="normalny tekst Znak,Akapit z nr Znak,Alpha list Znak"/>
    <w:link w:val="Akapitzlist"/>
    <w:uiPriority w:val="34"/>
    <w:locked/>
    <w:rsid w:val="00715368"/>
    <w:rPr>
      <w:rFonts w:ascii="Verdana" w:eastAsia="Times New Roman" w:hAnsi="Verdana" w:cs="Times New Roman"/>
      <w:color w:val="4864A7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E1D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1E1D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1E1D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D1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14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CC0B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x-589735d24a-msonormal">
    <w:name w:val="ox-589735d24a-msonormal"/>
    <w:basedOn w:val="Normalny"/>
    <w:uiPriority w:val="99"/>
    <w:rsid w:val="00BB214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B214F"/>
    <w:rPr>
      <w:i/>
      <w:iCs/>
    </w:rPr>
  </w:style>
  <w:style w:type="paragraph" w:styleId="Tekstpodstawowywcity">
    <w:name w:val="Body Text Indent"/>
    <w:basedOn w:val="Normalny"/>
    <w:link w:val="TekstpodstawowywcityZnak"/>
    <w:rsid w:val="007754E5"/>
    <w:pPr>
      <w:tabs>
        <w:tab w:val="left" w:pos="1080"/>
      </w:tabs>
      <w:spacing w:after="0" w:line="240" w:lineRule="auto"/>
      <w:ind w:left="1080" w:hanging="1080"/>
      <w:jc w:val="both"/>
    </w:pPr>
    <w:rPr>
      <w:rFonts w:ascii="PL Technical" w:eastAsia="Times New Roman" w:hAnsi="PL Technical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4E5"/>
    <w:rPr>
      <w:rFonts w:ascii="PL Technical" w:eastAsia="Times New Roman" w:hAnsi="PL Technical" w:cs="Times New Roman"/>
      <w:sz w:val="28"/>
      <w:szCs w:val="24"/>
      <w:lang w:eastAsia="pl-PL"/>
    </w:rPr>
  </w:style>
  <w:style w:type="paragraph" w:styleId="Poprawka">
    <w:name w:val="Revision"/>
    <w:hidden/>
    <w:uiPriority w:val="99"/>
    <w:semiHidden/>
    <w:rsid w:val="00A7180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7A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7A75"/>
    <w:rPr>
      <w:rFonts w:ascii="Calibri" w:eastAsia="Calibri" w:hAnsi="Calibri" w:cs="Times New Roman"/>
    </w:rPr>
  </w:style>
  <w:style w:type="character" w:customStyle="1" w:styleId="cf01">
    <w:name w:val="cf01"/>
    <w:basedOn w:val="Domylnaczcionkaakapitu"/>
    <w:rsid w:val="00D862E6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97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EB4C7F"/>
    <w:pPr>
      <w:spacing w:before="240" w:after="120" w:line="240" w:lineRule="auto"/>
      <w:ind w:left="720" w:hanging="72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EB4C7F"/>
  </w:style>
  <w:style w:type="paragraph" w:styleId="Nagwek">
    <w:name w:val="header"/>
    <w:basedOn w:val="Normalny"/>
    <w:link w:val="NagwekZnak"/>
    <w:uiPriority w:val="99"/>
    <w:unhideWhenUsed/>
    <w:rsid w:val="00F72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9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9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6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2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9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4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5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34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2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ADF47-237C-4C54-BDAD-D65271DD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Kardasz</dc:creator>
  <cp:lastModifiedBy>Ewa Haberny</cp:lastModifiedBy>
  <cp:revision>3</cp:revision>
  <cp:lastPrinted>2023-07-03T08:40:00Z</cp:lastPrinted>
  <dcterms:created xsi:type="dcterms:W3CDTF">2025-03-07T08:24:00Z</dcterms:created>
  <dcterms:modified xsi:type="dcterms:W3CDTF">2025-03-26T06:52:00Z</dcterms:modified>
</cp:coreProperties>
</file>