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01236" w14:textId="1A7BA2F8" w:rsidR="00A50305" w:rsidRPr="007C6792" w:rsidRDefault="00CB1213" w:rsidP="007C6792">
      <w:pPr>
        <w:spacing w:after="0"/>
        <w:rPr>
          <w:color w:val="FF0000"/>
          <w:sz w:val="24"/>
          <w:szCs w:val="24"/>
        </w:rPr>
      </w:pPr>
      <w:bookmarkStart w:id="0" w:name="_Hlk60140553"/>
      <w:r>
        <w:rPr>
          <w:color w:val="FF0000"/>
          <w:sz w:val="24"/>
          <w:szCs w:val="24"/>
        </w:rPr>
        <w:t>Załącznik</w:t>
      </w:r>
      <w:r w:rsidR="00670314">
        <w:rPr>
          <w:color w:val="FF0000"/>
          <w:sz w:val="24"/>
          <w:szCs w:val="24"/>
        </w:rPr>
        <w:t xml:space="preserve"> </w:t>
      </w:r>
      <w:r w:rsidR="00A7598E">
        <w:rPr>
          <w:color w:val="FF0000"/>
          <w:sz w:val="24"/>
          <w:szCs w:val="24"/>
        </w:rPr>
        <w:t>0.1.</w:t>
      </w:r>
    </w:p>
    <w:bookmarkEnd w:id="0"/>
    <w:p w14:paraId="19A3D6C6" w14:textId="2DDA96B1" w:rsidR="00DA0C5A" w:rsidRPr="007C6792" w:rsidRDefault="00EA467D" w:rsidP="002E4E72">
      <w:pPr>
        <w:rPr>
          <w:color w:val="FF0000"/>
          <w:sz w:val="24"/>
          <w:szCs w:val="24"/>
        </w:rPr>
      </w:pPr>
      <w:r w:rsidRPr="007C6792">
        <w:rPr>
          <w:color w:val="FF0000"/>
          <w:sz w:val="24"/>
          <w:szCs w:val="24"/>
        </w:rPr>
        <w:t>Słownik</w:t>
      </w:r>
    </w:p>
    <w:tbl>
      <w:tblPr>
        <w:tblW w:w="9498" w:type="dxa"/>
        <w:tblBorders>
          <w:insideH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9018"/>
      </w:tblGrid>
      <w:tr w:rsidR="00422087" w:rsidRPr="00422087" w14:paraId="07B93410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3DCDE793" w14:textId="77777777" w:rsidR="00422087" w:rsidRPr="00422087" w:rsidRDefault="0042208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t>L.p.</w:t>
            </w:r>
          </w:p>
        </w:tc>
        <w:tc>
          <w:tcPr>
            <w:tcW w:w="9018" w:type="dxa"/>
            <w:shd w:val="clear" w:color="auto" w:fill="auto"/>
            <w:noWrap/>
            <w:hideMark/>
          </w:tcPr>
          <w:p w14:paraId="3B52DBF6" w14:textId="77777777" w:rsid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t>Pojęcie i opis</w:t>
            </w:r>
          </w:p>
          <w:p w14:paraId="1F39CEA4" w14:textId="77777777" w:rsidR="005B5E73" w:rsidRPr="00422087" w:rsidRDefault="005B5E73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B553C" w:rsidRPr="00422087" w14:paraId="1B343675" w14:textId="77777777" w:rsidTr="00E067EE">
        <w:tc>
          <w:tcPr>
            <w:tcW w:w="480" w:type="dxa"/>
            <w:shd w:val="clear" w:color="auto" w:fill="auto"/>
            <w:noWrap/>
          </w:tcPr>
          <w:p w14:paraId="6767B3C6" w14:textId="7872CE23" w:rsidR="009B553C" w:rsidRPr="00422087" w:rsidRDefault="009B553C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1.</w:t>
            </w:r>
          </w:p>
        </w:tc>
        <w:tc>
          <w:tcPr>
            <w:tcW w:w="9018" w:type="dxa"/>
            <w:shd w:val="clear" w:color="auto" w:fill="auto"/>
            <w:noWrap/>
          </w:tcPr>
          <w:p w14:paraId="1068AFFD" w14:textId="65A3E98B" w:rsidR="009B553C" w:rsidRPr="00422087" w:rsidRDefault="009B553C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Administrator, Administrator IT </w:t>
            </w:r>
            <w:r w:rsidRPr="00B24613">
              <w:rPr>
                <w:rFonts w:eastAsia="Times New Roman" w:cs="Calibri"/>
                <w:color w:val="000000"/>
                <w:lang w:eastAsia="pl-PL"/>
              </w:rPr>
              <w:t xml:space="preserve">– </w:t>
            </w:r>
            <w:proofErr w:type="spellStart"/>
            <w:r w:rsidRPr="00B24613">
              <w:rPr>
                <w:rFonts w:eastAsia="Times New Roman" w:cs="Calibri"/>
                <w:color w:val="000000"/>
                <w:lang w:eastAsia="pl-PL"/>
              </w:rPr>
              <w:t>KomaNord</w:t>
            </w:r>
            <w:proofErr w:type="spellEnd"/>
            <w:r w:rsidRPr="00B24613">
              <w:rPr>
                <w:rFonts w:eastAsia="Times New Roman" w:cs="Calibri"/>
                <w:color w:val="000000"/>
                <w:lang w:eastAsia="pl-PL"/>
              </w:rPr>
              <w:t xml:space="preserve"> Sp. z o. o. podmiot odpowiedzialny za budowę </w:t>
            </w:r>
            <w:r w:rsidR="008602E0">
              <w:rPr>
                <w:rFonts w:eastAsia="Times New Roman" w:cs="Calibri"/>
                <w:color w:val="000000"/>
                <w:lang w:eastAsia="pl-PL"/>
              </w:rPr>
              <w:t>S</w:t>
            </w:r>
            <w:r w:rsidRPr="00B24613">
              <w:rPr>
                <w:rFonts w:eastAsia="Times New Roman" w:cs="Calibri"/>
                <w:color w:val="000000"/>
                <w:lang w:eastAsia="pl-PL"/>
              </w:rPr>
              <w:t xml:space="preserve">ystemu Park &amp; </w:t>
            </w:r>
            <w:proofErr w:type="spellStart"/>
            <w:r w:rsidRPr="00B24613">
              <w:rPr>
                <w:rFonts w:eastAsia="Times New Roman" w:cs="Calibri"/>
                <w:color w:val="000000"/>
                <w:lang w:eastAsia="pl-PL"/>
              </w:rPr>
              <w:t>Ride</w:t>
            </w:r>
            <w:proofErr w:type="spellEnd"/>
            <w:r w:rsidRPr="00B24613">
              <w:rPr>
                <w:rFonts w:eastAsia="Times New Roman" w:cs="Calibri"/>
                <w:color w:val="000000"/>
                <w:lang w:eastAsia="pl-PL"/>
              </w:rPr>
              <w:t xml:space="preserve"> Bydgoszcz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oraz za obsługę drugiej linii wsparcia dla Funkcji Głównych i Pomocniczych</w:t>
            </w:r>
            <w:r w:rsidR="00B95D81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22087" w:rsidRPr="00422087" w14:paraId="2A8BEB20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670EEC0D" w14:textId="261B1C94" w:rsidR="00422087" w:rsidRPr="00422087" w:rsidRDefault="009B553C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4282AF4D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ANPR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system rozpoznawania numerów rejestracyjnych pojazdów.</w:t>
            </w:r>
          </w:p>
        </w:tc>
      </w:tr>
      <w:tr w:rsidR="00422087" w:rsidRPr="00422087" w14:paraId="2EAAAE08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54C7EF69" w14:textId="4CCB1A58" w:rsidR="00422087" w:rsidRPr="00422087" w:rsidRDefault="009B553C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15385F3F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Automat Rozliczeniowy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lub </w:t>
            </w: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Kasa Automatyczna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urządzenie stanowiące wyposażenie Parkingu umożliwiające Użytkownikom między innymi dokonywanie opłat za parkowanie, zmianę typów Biletów itp.</w:t>
            </w:r>
          </w:p>
        </w:tc>
      </w:tr>
      <w:tr w:rsidR="009B553C" w:rsidRPr="00422087" w14:paraId="6639F7B3" w14:textId="77777777" w:rsidTr="00E067EE">
        <w:tc>
          <w:tcPr>
            <w:tcW w:w="480" w:type="dxa"/>
            <w:shd w:val="clear" w:color="auto" w:fill="auto"/>
            <w:noWrap/>
          </w:tcPr>
          <w:p w14:paraId="55D7346E" w14:textId="6FE1E501" w:rsidR="009B553C" w:rsidRPr="00422087" w:rsidRDefault="009B553C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4.</w:t>
            </w:r>
          </w:p>
        </w:tc>
        <w:tc>
          <w:tcPr>
            <w:tcW w:w="9018" w:type="dxa"/>
            <w:shd w:val="clear" w:color="auto" w:fill="auto"/>
          </w:tcPr>
          <w:p w14:paraId="3C0350A7" w14:textId="2415CD19" w:rsidR="009B553C" w:rsidRPr="00422087" w:rsidRDefault="009B553C" w:rsidP="00422087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C812C5">
              <w:rPr>
                <w:rFonts w:eastAsia="Times New Roman" w:cs="Calibri"/>
                <w:b/>
                <w:bCs/>
                <w:color w:val="000000"/>
                <w:lang w:eastAsia="pl-PL"/>
              </w:rPr>
              <w:t>Awaria Krytyczna</w:t>
            </w:r>
            <w:r w:rsidRPr="00281BB5">
              <w:rPr>
                <w:rFonts w:eastAsia="Times New Roman" w:cs="Calibri"/>
                <w:color w:val="000000"/>
                <w:lang w:eastAsia="pl-PL"/>
              </w:rPr>
              <w:t xml:space="preserve"> – Awaria systemu Park &amp; </w:t>
            </w:r>
            <w:proofErr w:type="spellStart"/>
            <w:r w:rsidRPr="00281BB5">
              <w:rPr>
                <w:rFonts w:eastAsia="Times New Roman" w:cs="Calibri"/>
                <w:color w:val="000000"/>
                <w:lang w:eastAsia="pl-PL"/>
              </w:rPr>
              <w:t>Ride</w:t>
            </w:r>
            <w:proofErr w:type="spellEnd"/>
            <w:r w:rsidRPr="00281BB5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C812C5">
              <w:rPr>
                <w:rFonts w:eastAsia="Times New Roman" w:cs="Calibri"/>
                <w:color w:val="000000"/>
                <w:lang w:eastAsia="pl-PL"/>
              </w:rPr>
              <w:t>uniemożliwiająca</w:t>
            </w:r>
            <w:r w:rsidRPr="00281BB5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korzystanie przez Użytkowników z funkcji parkingów Park &amp; </w:t>
            </w:r>
            <w:proofErr w:type="spellStart"/>
            <w:r>
              <w:rPr>
                <w:rFonts w:eastAsia="Times New Roman" w:cs="Calibri"/>
                <w:color w:val="000000"/>
                <w:lang w:eastAsia="pl-PL"/>
              </w:rPr>
              <w:t>Ride</w:t>
            </w:r>
            <w:proofErr w:type="spellEnd"/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22087" w:rsidRPr="00422087" w14:paraId="05720A77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64E340F2" w14:textId="4E5F26DD" w:rsidR="00422087" w:rsidRPr="00422087" w:rsidRDefault="009B553C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7D3F6E29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Bilet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- blankiet papierowy stanowiący potwierdzenie wjechania pojazdem na parking.</w:t>
            </w:r>
          </w:p>
        </w:tc>
      </w:tr>
      <w:tr w:rsidR="00422087" w:rsidRPr="00422087" w14:paraId="2A4727F8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03083C8B" w14:textId="75804B6F" w:rsidR="00422087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6E0754A5" w14:textId="019A3FF8" w:rsidR="00422087" w:rsidRPr="00422087" w:rsidRDefault="00422087" w:rsidP="00423349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Certyfikat</w:t>
            </w:r>
            <w:r w:rsidR="00423349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– dokument potwierdzający uczestnictwo </w:t>
            </w:r>
            <w:r w:rsidR="00423349">
              <w:rPr>
                <w:rFonts w:eastAsia="Times New Roman" w:cs="Calibri"/>
                <w:color w:val="000000"/>
                <w:lang w:eastAsia="pl-PL"/>
              </w:rPr>
              <w:t xml:space="preserve">osoby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w Szkoleniach </w:t>
            </w:r>
            <w:r w:rsidR="00423349">
              <w:rPr>
                <w:rFonts w:eastAsia="Times New Roman" w:cs="Calibri"/>
                <w:color w:val="000000"/>
                <w:lang w:eastAsia="pl-PL"/>
              </w:rPr>
              <w:t>oraz uzyskanie wyniku pozytywnego z egzaminu prowadzonego na końcu Szkolenia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22087" w:rsidRPr="00422087" w14:paraId="34D19ABD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06D52067" w14:textId="2ED4A2A9" w:rsidR="00422087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7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3948B196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CNS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- w zależności od kontekstu odpowiednio CNS Aplikacja i/lub CNS Biuro.</w:t>
            </w:r>
          </w:p>
        </w:tc>
      </w:tr>
      <w:tr w:rsidR="00422087" w:rsidRPr="00422087" w14:paraId="7723386A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682A16EE" w14:textId="2E70EDD6" w:rsidR="00422087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8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31BE933C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CNS Aplikacja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oprogramowanie wraz ze sprzętem przeznaczone do zarządzania i monitorowania Parkingami oraz systemami pomocniczymi dostarczone przez Koma </w:t>
            </w:r>
            <w:proofErr w:type="spellStart"/>
            <w:r w:rsidRPr="00422087">
              <w:rPr>
                <w:rFonts w:eastAsia="Times New Roman" w:cs="Calibri"/>
                <w:color w:val="000000"/>
                <w:lang w:eastAsia="pl-PL"/>
              </w:rPr>
              <w:t>Nord</w:t>
            </w:r>
            <w:proofErr w:type="spellEnd"/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22087" w:rsidRPr="00422087" w14:paraId="656AABD3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1D382FA0" w14:textId="3D60E650" w:rsidR="00422087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9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0F87BD02" w14:textId="0333439C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CNS Archiwum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szafa zamykana, metalowa znajdująca się w CNS Biuro, w której składowane będą istotne dokumenty papierowe lub media elektroniczne. W szczególności znajdować się tu będzie dokumentacja reklamacji, Dziennik Służby itp.</w:t>
            </w:r>
          </w:p>
        </w:tc>
      </w:tr>
      <w:tr w:rsidR="00422087" w:rsidRPr="00422087" w14:paraId="7EBE20B6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484E9D09" w14:textId="49704E0C" w:rsidR="00422087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0AEB44E1" w14:textId="60B5684C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CNS Biuro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- pomieszczenie nr 103 w budynku C, Urzędu Miasta Bydgoszcz przy ul.</w:t>
            </w:r>
            <w:r w:rsidR="005B5E73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Grudziądzkiej 9/15. Miejsce wyposażone i przystosowane do pełnienia roli centralnego ośrodka do zdalnego nadzorowania i zarządzania Systemem P&amp;R. Zarządzanie odbywa się głównie poprzez CNS Aplikacja. Funkcjonalnym elementem składowym CNS Biuro jest sprzęt teleinformatyczny zainstalowany w innym pomieszczeniu UM pod tym samym adresem.</w:t>
            </w:r>
          </w:p>
        </w:tc>
      </w:tr>
      <w:tr w:rsidR="00422087" w:rsidRPr="00422087" w14:paraId="6897D378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5EF9D010" w14:textId="746F0B08" w:rsidR="00422087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11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30AFF006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Dziennik Służby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– codzienna dokumentacja operacyjna prowadzona przez Wykonawcę, stanowiąca potwierdzenie wystąpienia w P&amp;R istotnych zdarzeń. Opis Dziennika Służby znajduje się w Załączniku Dziennik Służby.</w:t>
            </w:r>
          </w:p>
        </w:tc>
      </w:tr>
      <w:tr w:rsidR="00422087" w:rsidRPr="00422087" w14:paraId="3C347672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239892C3" w14:textId="63072897" w:rsidR="00422087" w:rsidRPr="00422087" w:rsidRDefault="0042208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2F431975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Funkcje Usługi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- katalog wartości świadczonych przez Wykonawcę lub sam System P&amp;R szczegółowo zdefiniowany z Załączniku Funkcje Usługi.</w:t>
            </w:r>
          </w:p>
        </w:tc>
      </w:tr>
      <w:tr w:rsidR="00422087" w:rsidRPr="00422087" w14:paraId="56648DE2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43B0BE31" w14:textId="24AD1E45" w:rsidR="00422087" w:rsidRPr="00422087" w:rsidRDefault="0042208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6E7D4247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Incydent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sytuacja nietypowa, niepożądana występująca na Parkingu, w jego okolicy lub w związku z Systemem P&amp;R, a związana z zagrożeniem bezpieczeństwa osób, zagrożeniem mienia lub zagrożeniem prawa.</w:t>
            </w:r>
          </w:p>
        </w:tc>
      </w:tr>
      <w:tr w:rsidR="00422087" w:rsidRPr="00422087" w14:paraId="09A92DFD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6AA40D1D" w14:textId="206F08BF" w:rsidR="00422087" w:rsidRPr="00422087" w:rsidRDefault="0042208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3297EE99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Intercom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system komunikacji pomiędzy Użytkownikiem na Parkingu, a Operatorem CNS.</w:t>
            </w:r>
          </w:p>
        </w:tc>
      </w:tr>
      <w:tr w:rsidR="00422087" w:rsidRPr="00422087" w14:paraId="471344F1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3A56048C" w14:textId="5EAF4C65" w:rsidR="00422087" w:rsidRPr="00422087" w:rsidRDefault="0042208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5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10F94D33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Istotne Naruszenie Umowy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kategoria uchybień w realizacji Umowy, dla których mają zastosowanie odpowiednie postanowienia Umowy.</w:t>
            </w:r>
          </w:p>
        </w:tc>
      </w:tr>
      <w:tr w:rsidR="00422087" w:rsidRPr="00422087" w14:paraId="0DAB27FA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494899DB" w14:textId="0612A3B3" w:rsidR="00422087" w:rsidRPr="00422087" w:rsidRDefault="0042208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6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01434B44" w14:textId="5CF74D72" w:rsidR="00422087" w:rsidRPr="00422087" w:rsidRDefault="00422087" w:rsidP="009851AF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Koma </w:t>
            </w:r>
            <w:proofErr w:type="spellStart"/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Nord</w:t>
            </w:r>
            <w:proofErr w:type="spellEnd"/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, Gwarant</w:t>
            </w:r>
            <w:r w:rsidR="009B553C">
              <w:rPr>
                <w:rFonts w:eastAsia="Times New Roman" w:cs="Calibri"/>
                <w:b/>
                <w:bCs/>
                <w:color w:val="000000"/>
                <w:lang w:eastAsia="pl-PL"/>
              </w:rPr>
              <w:t>, Generalny Wykonawca</w:t>
            </w:r>
            <w:r w:rsidR="005A728A">
              <w:rPr>
                <w:rFonts w:eastAsia="Times New Roman" w:cs="Calibri"/>
                <w:b/>
                <w:bCs/>
                <w:color w:val="000000"/>
                <w:lang w:eastAsia="pl-PL"/>
              </w:rPr>
              <w:t>, Administrator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 podmiot będący wykonawcą P&amp;R, świadczący wsparcie gwarancyjne </w:t>
            </w:r>
            <w:r w:rsidR="009B553C">
              <w:rPr>
                <w:rFonts w:eastAsia="Times New Roman" w:cs="Calibri"/>
                <w:color w:val="000000"/>
                <w:lang w:eastAsia="pl-PL"/>
              </w:rPr>
              <w:t xml:space="preserve">dla Systemu Park &amp; </w:t>
            </w:r>
            <w:proofErr w:type="spellStart"/>
            <w:r w:rsidR="009B553C">
              <w:rPr>
                <w:rFonts w:eastAsia="Times New Roman" w:cs="Calibri"/>
                <w:color w:val="000000"/>
                <w:lang w:eastAsia="pl-PL"/>
              </w:rPr>
              <w:t>Ride</w:t>
            </w:r>
            <w:proofErr w:type="spellEnd"/>
            <w:r w:rsidR="009B553C">
              <w:rPr>
                <w:rFonts w:eastAsia="Times New Roman" w:cs="Calibri"/>
                <w:color w:val="000000"/>
                <w:lang w:eastAsia="pl-PL"/>
              </w:rPr>
              <w:t xml:space="preserve"> Bydgoszcz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22087" w:rsidRPr="00422087" w14:paraId="49B824BC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7A29651B" w14:textId="141EB7D0" w:rsidR="00422087" w:rsidRPr="00422087" w:rsidRDefault="0042208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7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2118A67F" w14:textId="040DA29E" w:rsidR="00422087" w:rsidRPr="00422087" w:rsidRDefault="00422087" w:rsidP="009851AF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Koordynator Zamawiającego</w:t>
            </w:r>
            <w:r w:rsidR="009851AF">
              <w:rPr>
                <w:rFonts w:eastAsia="Times New Roman" w:cs="Calibri"/>
                <w:color w:val="000000"/>
                <w:lang w:eastAsia="pl-PL"/>
              </w:rPr>
              <w:t xml:space="preserve">, </w:t>
            </w:r>
            <w:r w:rsidR="009851AF"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Koordynator </w:t>
            </w:r>
            <w:r w:rsidR="009851AF">
              <w:rPr>
                <w:rFonts w:eastAsia="Times New Roman" w:cs="Calibri"/>
                <w:b/>
                <w:bCs/>
                <w:color w:val="000000"/>
                <w:lang w:eastAsia="pl-PL"/>
              </w:rPr>
              <w:t>Wykonawcy</w:t>
            </w:r>
            <w:r w:rsidR="009851AF" w:rsidRPr="00422087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– osoba dedykowana przez Zamawiającego </w:t>
            </w:r>
            <w:r w:rsidR="009851AF">
              <w:rPr>
                <w:rFonts w:eastAsia="Times New Roman" w:cs="Calibri"/>
                <w:color w:val="000000"/>
                <w:lang w:eastAsia="pl-PL"/>
              </w:rPr>
              <w:t xml:space="preserve">lub odpowiednio Wykonawcę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do bieżącej operacyjnej współpracy </w:t>
            </w:r>
            <w:r w:rsidR="009851AF">
              <w:rPr>
                <w:rFonts w:eastAsia="Times New Roman" w:cs="Calibri"/>
                <w:color w:val="000000"/>
                <w:lang w:eastAsia="pl-PL"/>
              </w:rPr>
              <w:t>z drugą ze Stron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22087" w:rsidRPr="00422087" w14:paraId="00987D12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38662EE4" w14:textId="797E595C" w:rsidR="00422087" w:rsidRPr="00422087" w:rsidRDefault="0042208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8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4321BE90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Naruszenie Umowy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kategoria uchybień w realizacji Umowy, dla których mają zastosowanie odpowiednie postanowienia Umowy.</w:t>
            </w:r>
          </w:p>
        </w:tc>
      </w:tr>
      <w:tr w:rsidR="00422087" w:rsidRPr="00422087" w14:paraId="0C844C09" w14:textId="77777777" w:rsidTr="00607975">
        <w:trPr>
          <w:trHeight w:val="1528"/>
        </w:trPr>
        <w:tc>
          <w:tcPr>
            <w:tcW w:w="480" w:type="dxa"/>
            <w:shd w:val="clear" w:color="auto" w:fill="auto"/>
            <w:noWrap/>
            <w:hideMark/>
          </w:tcPr>
          <w:p w14:paraId="7502DE72" w14:textId="7F372477" w:rsidR="00422087" w:rsidRPr="00422087" w:rsidRDefault="0042208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color w:val="000000"/>
                <w:lang w:eastAsia="pl-PL"/>
              </w:rPr>
              <w:lastRenderedPageBreak/>
              <w:t>1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9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0A1CC37D" w14:textId="12135D57" w:rsidR="00422087" w:rsidRPr="00995E40" w:rsidRDefault="00422087" w:rsidP="002317EA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Operacyjność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jest to czas, w którym Wykonawca zapewni obsadę minimum jednego Operatora </w:t>
            </w:r>
            <w:r w:rsidR="002317EA">
              <w:rPr>
                <w:rFonts w:eastAsia="Times New Roman" w:cs="Calibri"/>
                <w:color w:val="000000"/>
                <w:lang w:eastAsia="pl-PL"/>
              </w:rPr>
              <w:t xml:space="preserve">w CNS Biuro i obejmuje on </w:t>
            </w:r>
            <w:r w:rsidR="00995E40">
              <w:rPr>
                <w:rFonts w:eastAsia="Times New Roman" w:cs="Calibri"/>
                <w:color w:val="000000"/>
                <w:lang w:eastAsia="pl-PL"/>
              </w:rPr>
              <w:t xml:space="preserve">okres 24h we wszystkie dni w roku kalendarzowym. </w:t>
            </w:r>
          </w:p>
        </w:tc>
      </w:tr>
      <w:tr w:rsidR="004139B1" w:rsidRPr="00422087" w14:paraId="5BECFDBB" w14:textId="77777777" w:rsidTr="00E067EE">
        <w:tc>
          <w:tcPr>
            <w:tcW w:w="480" w:type="dxa"/>
            <w:shd w:val="clear" w:color="auto" w:fill="auto"/>
            <w:noWrap/>
          </w:tcPr>
          <w:p w14:paraId="258D2364" w14:textId="017EE7CA" w:rsidR="004139B1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9018" w:type="dxa"/>
            <w:shd w:val="clear" w:color="auto" w:fill="auto"/>
          </w:tcPr>
          <w:p w14:paraId="32936741" w14:textId="027E883B" w:rsidR="004139B1" w:rsidRPr="00422087" w:rsidRDefault="004139B1" w:rsidP="00995E4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Opera</w:t>
            </w:r>
            <w:r w:rsidR="00995E40">
              <w:rPr>
                <w:rFonts w:eastAsia="Times New Roman" w:cs="Calibri"/>
                <w:b/>
                <w:bCs/>
                <w:color w:val="000000"/>
                <w:lang w:eastAsia="pl-PL"/>
              </w:rPr>
              <w:t>cyjna Czynność Zwykła</w:t>
            </w:r>
            <w:r w:rsidR="00146102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– </w:t>
            </w:r>
            <w:r w:rsidR="00146102">
              <w:rPr>
                <w:rFonts w:eastAsia="Times New Roman" w:cs="Calibri"/>
                <w:color w:val="000000"/>
                <w:lang w:eastAsia="pl-PL"/>
              </w:rPr>
              <w:t xml:space="preserve">zespół </w:t>
            </w:r>
            <w:r w:rsidR="00995E40">
              <w:rPr>
                <w:rFonts w:eastAsia="Times New Roman" w:cs="Calibri"/>
                <w:color w:val="000000"/>
                <w:lang w:eastAsia="pl-PL"/>
              </w:rPr>
              <w:t xml:space="preserve">rutynowych </w:t>
            </w:r>
            <w:r w:rsidR="00146102">
              <w:rPr>
                <w:rFonts w:eastAsia="Times New Roman" w:cs="Calibri"/>
                <w:color w:val="000000"/>
                <w:lang w:eastAsia="pl-PL"/>
              </w:rPr>
              <w:t xml:space="preserve">zadań </w:t>
            </w:r>
            <w:r w:rsidR="00607975">
              <w:rPr>
                <w:rFonts w:eastAsia="Times New Roman" w:cs="Calibri"/>
                <w:color w:val="000000"/>
                <w:lang w:eastAsia="pl-PL"/>
              </w:rPr>
              <w:t xml:space="preserve">operacyjnych </w:t>
            </w:r>
            <w:r w:rsidR="00146102">
              <w:rPr>
                <w:rFonts w:eastAsia="Times New Roman" w:cs="Calibri"/>
                <w:color w:val="000000"/>
                <w:lang w:eastAsia="pl-PL"/>
              </w:rPr>
              <w:t xml:space="preserve">powierzonych Wykonawcy do </w:t>
            </w:r>
            <w:r w:rsidR="00607975">
              <w:rPr>
                <w:rFonts w:eastAsia="Times New Roman" w:cs="Calibri"/>
                <w:color w:val="000000"/>
                <w:lang w:eastAsia="pl-PL"/>
              </w:rPr>
              <w:t>wykonania</w:t>
            </w:r>
            <w:r w:rsidR="00146102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995E40" w:rsidRPr="00422087" w14:paraId="5627EDDC" w14:textId="77777777" w:rsidTr="00E067EE">
        <w:tc>
          <w:tcPr>
            <w:tcW w:w="480" w:type="dxa"/>
            <w:shd w:val="clear" w:color="auto" w:fill="auto"/>
            <w:noWrap/>
          </w:tcPr>
          <w:p w14:paraId="4BF6147B" w14:textId="77777777" w:rsidR="00995E40" w:rsidRDefault="00995E40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9018" w:type="dxa"/>
            <w:shd w:val="clear" w:color="auto" w:fill="auto"/>
          </w:tcPr>
          <w:p w14:paraId="3A7C85DB" w14:textId="7D22BC19" w:rsidR="00995E40" w:rsidRPr="00422087" w:rsidRDefault="00995E40" w:rsidP="00995E40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Operacyjna Czynność Kluczowa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–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zespół zadań operacyjnych powierzonych Wykonawcy do wykonania a obejmujący zmianę lub nową konfigurację cenników, biletów i harmonogramów pracy Parkingów. </w:t>
            </w:r>
          </w:p>
        </w:tc>
      </w:tr>
      <w:tr w:rsidR="00422087" w:rsidRPr="00422087" w14:paraId="37E6A1A9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4A659C88" w14:textId="7C8EDBEA" w:rsidR="00422087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21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3732EE24" w14:textId="065A43BB" w:rsidR="00422087" w:rsidRPr="00422087" w:rsidRDefault="00422087" w:rsidP="009851AF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Operator</w:t>
            </w:r>
            <w:r w:rsidR="009851AF">
              <w:rPr>
                <w:rFonts w:eastAsia="Times New Roman" w:cs="Calibri"/>
                <w:b/>
                <w:bCs/>
                <w:color w:val="000000"/>
                <w:lang w:eastAsia="pl-PL"/>
              </w:rPr>
              <w:t>, Operator CNS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przedstawiciel Wykonawcy realizujący funkcję zarządzania i/lub monitoringu Systemu P&amp;R poprzez CNS lub CNS Aplikacja. Operatorem może być osoba peł</w:t>
            </w:r>
            <w:r w:rsidR="009851AF">
              <w:rPr>
                <w:rFonts w:eastAsia="Times New Roman" w:cs="Calibri"/>
                <w:color w:val="000000"/>
                <w:lang w:eastAsia="pl-PL"/>
              </w:rPr>
              <w:t>noletnia, która odbyła Szkolenie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, złożyła </w:t>
            </w:r>
            <w:r w:rsidR="009851AF">
              <w:rPr>
                <w:rFonts w:eastAsia="Times New Roman" w:cs="Calibri"/>
                <w:color w:val="000000"/>
                <w:lang w:eastAsia="pl-PL"/>
              </w:rPr>
              <w:t xml:space="preserve">z wynikiem pozytywnym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egzamin </w:t>
            </w:r>
            <w:r w:rsidR="009851AF">
              <w:rPr>
                <w:rFonts w:eastAsia="Times New Roman" w:cs="Calibri"/>
                <w:color w:val="000000"/>
                <w:lang w:eastAsia="pl-PL"/>
              </w:rPr>
              <w:t>dla R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oli operatora CNS.</w:t>
            </w:r>
          </w:p>
        </w:tc>
      </w:tr>
      <w:tr w:rsidR="00422087" w:rsidRPr="00422087" w14:paraId="7D1AD813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25D4AE48" w14:textId="0F978E4F" w:rsidR="00422087" w:rsidRPr="00422087" w:rsidRDefault="004139B1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6B2ECA7C" w14:textId="0002BF92" w:rsidR="00422087" w:rsidRPr="00422087" w:rsidRDefault="00422087" w:rsidP="0043258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Parking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- w zależności od kontekstu odpowiednio jeden lub wiele Parking Naziemny i/lub Parking Kubaturowy.</w:t>
            </w:r>
          </w:p>
        </w:tc>
      </w:tr>
      <w:tr w:rsidR="00422087" w:rsidRPr="00422087" w14:paraId="34E50543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09E059CD" w14:textId="443B13BD" w:rsidR="00422087" w:rsidRPr="00422087" w:rsidRDefault="004139B1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7EE1BB8D" w14:textId="637AF5A8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Parking Kubaturowy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część obiektu kubaturowego przy </w:t>
            </w:r>
            <w:r w:rsidR="00432588" w:rsidRPr="00422087">
              <w:rPr>
                <w:rFonts w:eastAsia="Times New Roman" w:cs="Calibri"/>
                <w:color w:val="000000"/>
                <w:lang w:eastAsia="pl-PL"/>
              </w:rPr>
              <w:t>ul. Grudziądzkiej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wykorzystywana w roli P&amp;R (tzw. silos P&amp;R).</w:t>
            </w:r>
          </w:p>
        </w:tc>
      </w:tr>
      <w:tr w:rsidR="00422087" w:rsidRPr="00422087" w14:paraId="6A74DB4C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5107AAB0" w14:textId="2971057D" w:rsidR="00422087" w:rsidRPr="00422087" w:rsidRDefault="004139B1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4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2E2C097D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Parking Naziemny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– parking zlokalizowany w lokalizacji Węzeł Zachodni lub Las Gdański lub Przylesie lub Rondo Kujawskie.</w:t>
            </w:r>
          </w:p>
        </w:tc>
      </w:tr>
      <w:tr w:rsidR="00422087" w:rsidRPr="00422087" w14:paraId="45E3E1B0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200DD91D" w14:textId="6FEC5F5A" w:rsidR="00422087" w:rsidRPr="00422087" w:rsidRDefault="004139B1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5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4E4EF398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Polecenia Operacyjne Zamawiającego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- decyzje Zamawiającego wydane przez Koordynatora Zamawiającego, a przekazane Kierownikowi Wykonawcy lub Operatorowi CNS w formie pisemnej lub email lub ustnej (zarejestrowanej). Decyzje te będą traktowane jako polecenia Zamawiającego do wykonania. Zakres tych poleceń dotyczyć będzie wyłącznie organizacji, odpłatności i dostępności Parkingów dla mieszkańców.</w:t>
            </w:r>
          </w:p>
        </w:tc>
      </w:tr>
      <w:tr w:rsidR="00422087" w:rsidRPr="00422087" w14:paraId="20F2DAA9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5256041D" w14:textId="5A1302D2" w:rsidR="00422087" w:rsidRPr="00422087" w:rsidRDefault="004139B1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6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48E8AAF2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Postępowanie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niniejszy proces wyboru Wykonawcy dla usług Operatorskich dla Systemu P&amp;R w Bydgoszczy, realizowany w oparciu o zasady Postępowania dla Zamówień publicznych.</w:t>
            </w:r>
          </w:p>
        </w:tc>
      </w:tr>
      <w:tr w:rsidR="00422087" w:rsidRPr="00422087" w14:paraId="51881495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1FBB4995" w14:textId="26600756" w:rsidR="00422087" w:rsidRPr="00422087" w:rsidRDefault="004139B1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7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6F0297D7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Potwierdzenie Zapłaty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dokument wydrukowany w Automacie Rozliczeniowym stanowiący potwierdzenie przyjęcia i rozliczenia wpłaty.</w:t>
            </w:r>
          </w:p>
        </w:tc>
      </w:tr>
      <w:tr w:rsidR="00422087" w:rsidRPr="00422087" w14:paraId="1319A7BE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6C8A6D2C" w14:textId="4D0627F0" w:rsidR="00422087" w:rsidRPr="00422087" w:rsidRDefault="004139B1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8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158B110C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Prace Nieplanowane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wykonywane przez Operatora CNS czynności inne niż Prace Planowe, a związane z działaniem Systemu P&amp;R. Zwykle o charakterze serwisowo-naprawczym lub operacyjnym. </w:t>
            </w:r>
          </w:p>
        </w:tc>
      </w:tr>
      <w:tr w:rsidR="00422087" w:rsidRPr="00422087" w14:paraId="60D17DFD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5A44E835" w14:textId="0036F6C9" w:rsidR="00422087" w:rsidRPr="00422087" w:rsidRDefault="004139B1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9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208D1E56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Prace Planowe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działania Operatora CNS, związane z rutynową obsługą Systemu P&amp;R, podlegające wcześniejszemu harmonogramowaniu. </w:t>
            </w:r>
          </w:p>
        </w:tc>
      </w:tr>
      <w:tr w:rsidR="00422087" w:rsidRPr="00422087" w14:paraId="076DBEA5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5FDB4E51" w14:textId="57A63344" w:rsidR="00422087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30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7B58597B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Procedura Wykonawcy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zespół zasad i reguł stosowanych przez Wykonawcę w ramach realizacji Umowy, nie będący w sprzeczności z procedurami wskazanymi przez Zamawiającego w Postępowaniu.</w:t>
            </w:r>
          </w:p>
        </w:tc>
      </w:tr>
      <w:tr w:rsidR="00380716" w:rsidRPr="00422087" w14:paraId="47A95C3F" w14:textId="77777777" w:rsidTr="00705E95">
        <w:tc>
          <w:tcPr>
            <w:tcW w:w="480" w:type="dxa"/>
            <w:shd w:val="clear" w:color="auto" w:fill="auto"/>
            <w:noWrap/>
            <w:hideMark/>
          </w:tcPr>
          <w:p w14:paraId="41E73141" w14:textId="1E09A507" w:rsidR="00380716" w:rsidRPr="00422087" w:rsidRDefault="006D3FB7" w:rsidP="00705E9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31</w:t>
            </w:r>
            <w:r w:rsidR="00380716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5D59589D" w14:textId="5DADBFA8" w:rsidR="00380716" w:rsidRPr="00422087" w:rsidRDefault="00380716" w:rsidP="00380716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Rachunek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– </w:t>
            </w:r>
            <w:r>
              <w:rPr>
                <w:rFonts w:eastAsia="Times New Roman" w:cs="Calibri"/>
                <w:color w:val="000000"/>
                <w:lang w:eastAsia="pl-PL"/>
              </w:rPr>
              <w:t>dedykowany dla rozliczeń finansowych odnośnie Systemu P&amp;R rachunek bankowy Zamawiającego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22087" w:rsidRPr="00422087" w14:paraId="5BDCE2BB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18377644" w14:textId="730CBFED" w:rsidR="00422087" w:rsidRPr="00422087" w:rsidRDefault="00380716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22C0DCA1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SLA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zbiór kryteriów jakościowych wraz z wartościami granicznymi stanowiący miernik jakości realizacji Umowy przez Wykonawcę, szczegółowo zdefiniowany w Załączniku Funkcje Usługi.</w:t>
            </w:r>
          </w:p>
        </w:tc>
      </w:tr>
      <w:tr w:rsidR="00422087" w:rsidRPr="00422087" w14:paraId="5E5C5182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43F2FC65" w14:textId="4B2BE4C1" w:rsidR="00422087" w:rsidRPr="00422087" w:rsidRDefault="00380716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noWrap/>
            <w:hideMark/>
          </w:tcPr>
          <w:p w14:paraId="5BC98E13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Słownik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niniejszy dokument będący załącznikiem do OPZ oraz Umowy.</w:t>
            </w:r>
          </w:p>
        </w:tc>
      </w:tr>
      <w:tr w:rsidR="00422087" w:rsidRPr="00422087" w14:paraId="2549BF09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16AFC391" w14:textId="6DF38B1D" w:rsidR="00422087" w:rsidRPr="00422087" w:rsidRDefault="00380716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4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6FEE5542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System Naprowadzania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zespół elektronicznych, diodowych tablic informacyjnych rozmieszczonych na terenie miasta Bydgoszcz, na których wyświetlana będzie informacja wskazująca sugerowany kierunek dojazdu do Parkingu wraz z aktualną liczbą wolnych miejsc na tych Parkingach. Celem systemu jest ułatwienie kierowcom dotarcia i zaparkowania pojazdów na parkingach Systemu P&amp;R.</w:t>
            </w:r>
          </w:p>
        </w:tc>
      </w:tr>
      <w:tr w:rsidR="00422087" w:rsidRPr="00422087" w14:paraId="3F68BEC3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19329211" w14:textId="332CD0EC" w:rsidR="00422087" w:rsidRPr="00422087" w:rsidRDefault="00380716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3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5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441A48D4" w14:textId="12D9F888" w:rsidR="00422087" w:rsidRPr="00422087" w:rsidRDefault="00422087" w:rsidP="003A6734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System</w:t>
            </w:r>
            <w:r w:rsidR="003A6734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lub System</w:t>
            </w: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P&amp;R lub P&amp;R –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zespół rozwiązań technicznych oraz oprogramowania realizujący koncepcję komunikacji w Bydg</w:t>
            </w:r>
            <w:r w:rsidR="003A6734">
              <w:rPr>
                <w:rFonts w:eastAsia="Times New Roman" w:cs="Calibri"/>
                <w:color w:val="000000"/>
                <w:lang w:eastAsia="pl-PL"/>
              </w:rPr>
              <w:t>oszczy typu parkuj i jedź (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zaparkuj samochód i dalej poruszaj się komunikacją zbiorową) obejmujący infrastrukturę drogową w następujących lokalizacjach</w:t>
            </w:r>
            <w:r w:rsidR="000A6DB2">
              <w:rPr>
                <w:rFonts w:eastAsia="Times New Roman" w:cs="Calibri"/>
                <w:color w:val="000000"/>
                <w:lang w:eastAsia="pl-PL"/>
              </w:rPr>
              <w:t xml:space="preserve"> parkingowych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: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br/>
              <w:t>a) Parking Węzeł Zachodni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br/>
              <w:t>b) Parking Las Gdański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br/>
              <w:t>c) Parking Przylesie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br/>
              <w:t>d) Parking Ro</w:t>
            </w:r>
            <w:r>
              <w:rPr>
                <w:rFonts w:eastAsia="Times New Roman" w:cs="Calibri"/>
                <w:color w:val="000000"/>
                <w:lang w:eastAsia="pl-PL"/>
              </w:rPr>
              <w:t>n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do Kujawskie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br/>
              <w:t>e) Parking Kubaturowy Grudziądzka UM</w:t>
            </w:r>
          </w:p>
        </w:tc>
      </w:tr>
      <w:tr w:rsidR="00422087" w:rsidRPr="00422087" w14:paraId="34E35FFB" w14:textId="77777777" w:rsidTr="00E067EE">
        <w:tc>
          <w:tcPr>
            <w:tcW w:w="480" w:type="dxa"/>
            <w:shd w:val="clear" w:color="auto" w:fill="auto"/>
            <w:hideMark/>
          </w:tcPr>
          <w:p w14:paraId="306B1F33" w14:textId="5957AB19" w:rsidR="00422087" w:rsidRPr="00422087" w:rsidRDefault="00380716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6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1898B1A2" w14:textId="2D886CA8" w:rsidR="00422087" w:rsidRPr="00422087" w:rsidRDefault="00423349" w:rsidP="00423349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Szkolenie 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 xml:space="preserve">– zespół szkoleń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prowadzonych przez Gwaranta lub podmiot autoryzowany a dotyczących budowy i działania Systemu P&amp;R. Szkolenie kończy się egzaminem. </w:t>
            </w:r>
            <w:r w:rsidR="00CF7CB9">
              <w:rPr>
                <w:rFonts w:eastAsia="Times New Roman" w:cs="Calibri"/>
                <w:color w:val="000000"/>
                <w:lang w:eastAsia="pl-PL"/>
              </w:rPr>
              <w:t xml:space="preserve">Zaliczenie egzaminu z wynikiem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pozytywnym 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 xml:space="preserve">jest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warunkiem 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konieczne do pełnienia roli Operatora CNS.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Szkolenie trwa 5 kolejnych dni roboczych w godzinach od 9 do 15.</w:t>
            </w:r>
          </w:p>
        </w:tc>
      </w:tr>
      <w:tr w:rsidR="00422087" w:rsidRPr="00422087" w14:paraId="65A652F3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11E5E8A4" w14:textId="134BD539" w:rsidR="00422087" w:rsidRPr="00422087" w:rsidRDefault="00380716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7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3C1AA7DB" w14:textId="77777777" w:rsidR="00422087" w:rsidRPr="00422087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Umowa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porozumienie zawarte pomiędzy Zamawiającym, a Wykonawcą wyłonionym w ramach niniejszego postępowania, którego celem jest realizacja przez Wykonawcę Usług i Funkcji Głównych Systemu P&amp;R, wskazanych w Załączniku Funkcje Usługi.</w:t>
            </w:r>
          </w:p>
        </w:tc>
      </w:tr>
      <w:tr w:rsidR="00422087" w:rsidRPr="00422087" w14:paraId="2C483244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38C91EAD" w14:textId="5F3F97D7" w:rsidR="00422087" w:rsidRPr="00422087" w:rsidRDefault="00380716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8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16AAA9FE" w14:textId="65BD3801" w:rsidR="00422087" w:rsidRPr="00422087" w:rsidRDefault="00422087" w:rsidP="00CF7CB9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Użytkownik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osoba korzystająca z Funkcji Głównych Systemu P&amp;R, zwykle kierowca pojazdu parkującego lub jego pasażer.</w:t>
            </w:r>
          </w:p>
        </w:tc>
      </w:tr>
      <w:tr w:rsidR="00422087" w:rsidRPr="00422087" w14:paraId="4C87D11A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68BD2EFF" w14:textId="25B0EC6C" w:rsidR="00422087" w:rsidRPr="00422087" w:rsidRDefault="00380716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6D3FB7">
              <w:rPr>
                <w:rFonts w:eastAsia="Times New Roman" w:cs="Calibri"/>
                <w:color w:val="000000"/>
                <w:lang w:eastAsia="pl-PL"/>
              </w:rPr>
              <w:t>9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3CC0D3BD" w14:textId="2669C058" w:rsidR="00422087" w:rsidRPr="00422087" w:rsidRDefault="00422087" w:rsidP="00146102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Wykonawca</w:t>
            </w:r>
            <w:r w:rsidR="00146102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– podmiot wyłoniony w ramach niniejszego postępowania, odpowiedzialny między innymi za realizację Funkcji Głównych Systemu P&amp;R w sposób zgodny z SLA</w:t>
            </w:r>
            <w:r w:rsidR="00146102">
              <w:rPr>
                <w:rFonts w:eastAsia="Times New Roman" w:cs="Calibri"/>
                <w:color w:val="000000"/>
                <w:lang w:eastAsia="pl-PL"/>
              </w:rPr>
              <w:t xml:space="preserve"> oraz pozostałymi zapisami Umowy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22087" w:rsidRPr="00422087" w14:paraId="5B06569C" w14:textId="77777777" w:rsidTr="00E067EE">
        <w:tc>
          <w:tcPr>
            <w:tcW w:w="480" w:type="dxa"/>
            <w:shd w:val="clear" w:color="auto" w:fill="auto"/>
            <w:noWrap/>
            <w:hideMark/>
          </w:tcPr>
          <w:p w14:paraId="116DAB50" w14:textId="0F6AB27F" w:rsidR="00422087" w:rsidRPr="00422087" w:rsidRDefault="006D3FB7" w:rsidP="004220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40</w:t>
            </w:r>
            <w:r w:rsidR="00422087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shd w:val="clear" w:color="auto" w:fill="auto"/>
            <w:hideMark/>
          </w:tcPr>
          <w:p w14:paraId="4FE17781" w14:textId="77777777" w:rsidR="0005461D" w:rsidRDefault="00422087" w:rsidP="00422087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  <w:r w:rsidRPr="00422087">
              <w:rPr>
                <w:rFonts w:eastAsia="Times New Roman" w:cs="Calibri"/>
                <w:b/>
                <w:bCs/>
                <w:color w:val="000000"/>
                <w:lang w:eastAsia="pl-PL"/>
              </w:rPr>
              <w:t>Zamawiający</w:t>
            </w:r>
            <w:r w:rsidRPr="00422087">
              <w:rPr>
                <w:rFonts w:eastAsia="Times New Roman" w:cs="Calibri"/>
                <w:color w:val="000000"/>
                <w:lang w:eastAsia="pl-PL"/>
              </w:rPr>
              <w:t xml:space="preserve"> – Zarząd Dróg Miejskich i Komunikacji Publicznej w Bydgoszczy.</w:t>
            </w:r>
          </w:p>
          <w:p w14:paraId="3751DFE0" w14:textId="0C2FBA97" w:rsidR="0005461D" w:rsidRPr="00B24613" w:rsidRDefault="0005461D" w:rsidP="00B24613">
            <w:pPr>
              <w:pStyle w:val="Akapitzlist"/>
              <w:spacing w:after="0" w:line="240" w:lineRule="auto"/>
              <w:jc w:val="both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05461D" w:rsidRPr="00422087" w14:paraId="720C274F" w14:textId="77777777" w:rsidTr="005A728A">
        <w:tc>
          <w:tcPr>
            <w:tcW w:w="4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14:paraId="19799FA5" w14:textId="0B4E5BA7" w:rsidR="0005461D" w:rsidRPr="00422087" w:rsidRDefault="006D3FB7" w:rsidP="00551C5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41</w:t>
            </w:r>
            <w:r w:rsidR="0005461D" w:rsidRPr="00422087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90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9EE324A" w14:textId="6DD3B008" w:rsidR="0005461D" w:rsidRPr="0005461D" w:rsidRDefault="0005461D" w:rsidP="00551C55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</w:tbl>
    <w:p w14:paraId="6A14EBC5" w14:textId="39892EF0" w:rsidR="00136421" w:rsidRPr="00784F76" w:rsidRDefault="00136421" w:rsidP="003B46FB">
      <w:pPr>
        <w:pStyle w:val="m1"/>
        <w:numPr>
          <w:ilvl w:val="0"/>
          <w:numId w:val="0"/>
        </w:numPr>
        <w:ind w:left="360" w:hanging="360"/>
      </w:pPr>
    </w:p>
    <w:sectPr w:rsidR="00136421" w:rsidRPr="00784F76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CC5D5" w14:textId="77777777" w:rsidR="00FD5195" w:rsidRDefault="00FD5195" w:rsidP="00624CC4">
      <w:pPr>
        <w:spacing w:after="0" w:line="240" w:lineRule="auto"/>
      </w:pPr>
      <w:r>
        <w:separator/>
      </w:r>
    </w:p>
  </w:endnote>
  <w:endnote w:type="continuationSeparator" w:id="0">
    <w:p w14:paraId="4A6CD35E" w14:textId="77777777" w:rsidR="00FD5195" w:rsidRDefault="00FD5195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7525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5D80E8" w14:textId="7B71A55A" w:rsidR="00941B5C" w:rsidRDefault="00941B5C" w:rsidP="003022D9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071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071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41B5C" w:rsidRDefault="00941B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6CAA4" w14:textId="77777777" w:rsidR="00FD5195" w:rsidRDefault="00FD5195" w:rsidP="00624CC4">
      <w:pPr>
        <w:spacing w:after="0" w:line="240" w:lineRule="auto"/>
      </w:pPr>
      <w:r>
        <w:separator/>
      </w:r>
    </w:p>
  </w:footnote>
  <w:footnote w:type="continuationSeparator" w:id="0">
    <w:p w14:paraId="5A7F31B2" w14:textId="77777777" w:rsidR="00FD5195" w:rsidRDefault="00FD5195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DB3A4" w14:textId="50460D9D" w:rsidR="00941B5C" w:rsidRDefault="00CB1213" w:rsidP="00624CC4">
    <w:pPr>
      <w:pStyle w:val="Nagwek"/>
    </w:pPr>
    <w:r>
      <w:t xml:space="preserve">System Park and </w:t>
    </w:r>
    <w:proofErr w:type="spellStart"/>
    <w:r>
      <w:t>Ride</w:t>
    </w:r>
    <w:proofErr w:type="spellEnd"/>
  </w:p>
  <w:p w14:paraId="7D54BE08" w14:textId="77777777" w:rsidR="00941B5C" w:rsidRPr="00624CC4" w:rsidRDefault="00941B5C" w:rsidP="007C6792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622665B"/>
    <w:multiLevelType w:val="hybridMultilevel"/>
    <w:tmpl w:val="93E65FE0"/>
    <w:lvl w:ilvl="0" w:tplc="210C141A">
      <w:start w:val="1"/>
      <w:numFmt w:val="lowerRoman"/>
      <w:lvlText w:val="%1)"/>
      <w:lvlJc w:val="left"/>
      <w:pPr>
        <w:ind w:left="87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30D162E"/>
    <w:multiLevelType w:val="hybridMultilevel"/>
    <w:tmpl w:val="4B462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406893">
    <w:abstractNumId w:val="1"/>
  </w:num>
  <w:num w:numId="2" w16cid:durableId="404913377">
    <w:abstractNumId w:val="1"/>
  </w:num>
  <w:num w:numId="3" w16cid:durableId="1016077285">
    <w:abstractNumId w:val="1"/>
  </w:num>
  <w:num w:numId="4" w16cid:durableId="1782871033">
    <w:abstractNumId w:val="1"/>
  </w:num>
  <w:num w:numId="5" w16cid:durableId="1264344063">
    <w:abstractNumId w:val="1"/>
  </w:num>
  <w:num w:numId="6" w16cid:durableId="1896117282">
    <w:abstractNumId w:val="1"/>
  </w:num>
  <w:num w:numId="7" w16cid:durableId="743986770">
    <w:abstractNumId w:val="1"/>
  </w:num>
  <w:num w:numId="8" w16cid:durableId="936981727">
    <w:abstractNumId w:val="1"/>
  </w:num>
  <w:num w:numId="9" w16cid:durableId="312417543">
    <w:abstractNumId w:val="1"/>
  </w:num>
  <w:num w:numId="10" w16cid:durableId="2120367286">
    <w:abstractNumId w:val="1"/>
  </w:num>
  <w:num w:numId="11" w16cid:durableId="950626349">
    <w:abstractNumId w:val="1"/>
  </w:num>
  <w:num w:numId="12" w16cid:durableId="542838203">
    <w:abstractNumId w:val="1"/>
  </w:num>
  <w:num w:numId="13" w16cid:durableId="1087582130">
    <w:abstractNumId w:val="1"/>
  </w:num>
  <w:num w:numId="14" w16cid:durableId="260916367">
    <w:abstractNumId w:val="1"/>
  </w:num>
  <w:num w:numId="15" w16cid:durableId="1469861057">
    <w:abstractNumId w:val="1"/>
  </w:num>
  <w:num w:numId="16" w16cid:durableId="161899890">
    <w:abstractNumId w:val="1"/>
  </w:num>
  <w:num w:numId="17" w16cid:durableId="1775859927">
    <w:abstractNumId w:val="1"/>
  </w:num>
  <w:num w:numId="18" w16cid:durableId="1373456206">
    <w:abstractNumId w:val="1"/>
  </w:num>
  <w:num w:numId="19" w16cid:durableId="444616867">
    <w:abstractNumId w:val="3"/>
  </w:num>
  <w:num w:numId="20" w16cid:durableId="8932706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2096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6752424">
    <w:abstractNumId w:val="3"/>
  </w:num>
  <w:num w:numId="23" w16cid:durableId="1020660936">
    <w:abstractNumId w:val="0"/>
  </w:num>
  <w:num w:numId="24" w16cid:durableId="93282792">
    <w:abstractNumId w:val="3"/>
  </w:num>
  <w:num w:numId="25" w16cid:durableId="1773234626">
    <w:abstractNumId w:val="2"/>
  </w:num>
  <w:num w:numId="26" w16cid:durableId="834220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31515"/>
    <w:rsid w:val="0005461D"/>
    <w:rsid w:val="00055205"/>
    <w:rsid w:val="0008336C"/>
    <w:rsid w:val="000854E4"/>
    <w:rsid w:val="000A5DE4"/>
    <w:rsid w:val="000A6DB2"/>
    <w:rsid w:val="000C43DB"/>
    <w:rsid w:val="000D0E25"/>
    <w:rsid w:val="000D2D7F"/>
    <w:rsid w:val="000D69C5"/>
    <w:rsid w:val="000E4806"/>
    <w:rsid w:val="000F6A42"/>
    <w:rsid w:val="0012537F"/>
    <w:rsid w:val="00132061"/>
    <w:rsid w:val="00136421"/>
    <w:rsid w:val="00146102"/>
    <w:rsid w:val="0015108C"/>
    <w:rsid w:val="0016075B"/>
    <w:rsid w:val="00190679"/>
    <w:rsid w:val="001B63EB"/>
    <w:rsid w:val="001B6C49"/>
    <w:rsid w:val="001C0B7E"/>
    <w:rsid w:val="001D4C5A"/>
    <w:rsid w:val="001F39E4"/>
    <w:rsid w:val="002023FB"/>
    <w:rsid w:val="00204D49"/>
    <w:rsid w:val="00223704"/>
    <w:rsid w:val="0022401E"/>
    <w:rsid w:val="002317EA"/>
    <w:rsid w:val="0023337F"/>
    <w:rsid w:val="00236FB0"/>
    <w:rsid w:val="002734BF"/>
    <w:rsid w:val="00287059"/>
    <w:rsid w:val="0029024D"/>
    <w:rsid w:val="00292524"/>
    <w:rsid w:val="002C310D"/>
    <w:rsid w:val="002C61A3"/>
    <w:rsid w:val="002D1274"/>
    <w:rsid w:val="002E4E72"/>
    <w:rsid w:val="002F031A"/>
    <w:rsid w:val="002F5236"/>
    <w:rsid w:val="003022D9"/>
    <w:rsid w:val="0032366A"/>
    <w:rsid w:val="00323921"/>
    <w:rsid w:val="0033688C"/>
    <w:rsid w:val="00350FCA"/>
    <w:rsid w:val="00355E6C"/>
    <w:rsid w:val="00361E5D"/>
    <w:rsid w:val="00366894"/>
    <w:rsid w:val="00380716"/>
    <w:rsid w:val="0038352F"/>
    <w:rsid w:val="00396067"/>
    <w:rsid w:val="003A0D21"/>
    <w:rsid w:val="003A0E0E"/>
    <w:rsid w:val="003A6734"/>
    <w:rsid w:val="003B46FB"/>
    <w:rsid w:val="003E54CB"/>
    <w:rsid w:val="003F49E5"/>
    <w:rsid w:val="003F6C47"/>
    <w:rsid w:val="0040747F"/>
    <w:rsid w:val="004139B1"/>
    <w:rsid w:val="00422087"/>
    <w:rsid w:val="004226DF"/>
    <w:rsid w:val="00423349"/>
    <w:rsid w:val="00432588"/>
    <w:rsid w:val="00435FAA"/>
    <w:rsid w:val="00452418"/>
    <w:rsid w:val="0045242C"/>
    <w:rsid w:val="00460863"/>
    <w:rsid w:val="0049219F"/>
    <w:rsid w:val="00493B65"/>
    <w:rsid w:val="004A5F93"/>
    <w:rsid w:val="004D7767"/>
    <w:rsid w:val="004E7BBF"/>
    <w:rsid w:val="005073F7"/>
    <w:rsid w:val="005131E9"/>
    <w:rsid w:val="00540E31"/>
    <w:rsid w:val="00567EE7"/>
    <w:rsid w:val="005A2A54"/>
    <w:rsid w:val="005A728A"/>
    <w:rsid w:val="005B155D"/>
    <w:rsid w:val="005B5D50"/>
    <w:rsid w:val="005B5E73"/>
    <w:rsid w:val="005C5656"/>
    <w:rsid w:val="005D3DC4"/>
    <w:rsid w:val="00607975"/>
    <w:rsid w:val="00624CC4"/>
    <w:rsid w:val="006319D7"/>
    <w:rsid w:val="006465FE"/>
    <w:rsid w:val="00670314"/>
    <w:rsid w:val="00677AB9"/>
    <w:rsid w:val="006A6068"/>
    <w:rsid w:val="006B1BB7"/>
    <w:rsid w:val="006B4E72"/>
    <w:rsid w:val="006D3B10"/>
    <w:rsid w:val="006D3FB7"/>
    <w:rsid w:val="006D4701"/>
    <w:rsid w:val="006E0F63"/>
    <w:rsid w:val="006E2D91"/>
    <w:rsid w:val="006E2F1D"/>
    <w:rsid w:val="006F7F2A"/>
    <w:rsid w:val="00700B81"/>
    <w:rsid w:val="007201F1"/>
    <w:rsid w:val="007240DB"/>
    <w:rsid w:val="00727C18"/>
    <w:rsid w:val="00742155"/>
    <w:rsid w:val="00742FB1"/>
    <w:rsid w:val="00750F79"/>
    <w:rsid w:val="007541B9"/>
    <w:rsid w:val="007557F9"/>
    <w:rsid w:val="007572E6"/>
    <w:rsid w:val="007833FB"/>
    <w:rsid w:val="00784F76"/>
    <w:rsid w:val="00785E5D"/>
    <w:rsid w:val="00795E72"/>
    <w:rsid w:val="007A7095"/>
    <w:rsid w:val="007C6792"/>
    <w:rsid w:val="007C70E0"/>
    <w:rsid w:val="007D18AF"/>
    <w:rsid w:val="007E5682"/>
    <w:rsid w:val="00814D69"/>
    <w:rsid w:val="00835774"/>
    <w:rsid w:val="008602E0"/>
    <w:rsid w:val="008900DF"/>
    <w:rsid w:val="00892AEE"/>
    <w:rsid w:val="008E0EEC"/>
    <w:rsid w:val="008F23CC"/>
    <w:rsid w:val="00941B5C"/>
    <w:rsid w:val="00953798"/>
    <w:rsid w:val="00953BE5"/>
    <w:rsid w:val="00957F2C"/>
    <w:rsid w:val="00971838"/>
    <w:rsid w:val="009851AF"/>
    <w:rsid w:val="0098755B"/>
    <w:rsid w:val="00995E40"/>
    <w:rsid w:val="009A72A1"/>
    <w:rsid w:val="009B553C"/>
    <w:rsid w:val="009B5960"/>
    <w:rsid w:val="009C3C10"/>
    <w:rsid w:val="009C45D1"/>
    <w:rsid w:val="009D24CE"/>
    <w:rsid w:val="00A03382"/>
    <w:rsid w:val="00A11C92"/>
    <w:rsid w:val="00A20BDE"/>
    <w:rsid w:val="00A23CED"/>
    <w:rsid w:val="00A279B3"/>
    <w:rsid w:val="00A50305"/>
    <w:rsid w:val="00A5187C"/>
    <w:rsid w:val="00A54654"/>
    <w:rsid w:val="00A5502B"/>
    <w:rsid w:val="00A6431F"/>
    <w:rsid w:val="00A71825"/>
    <w:rsid w:val="00A7598E"/>
    <w:rsid w:val="00A8056A"/>
    <w:rsid w:val="00A86F14"/>
    <w:rsid w:val="00A91886"/>
    <w:rsid w:val="00A960A9"/>
    <w:rsid w:val="00AA6439"/>
    <w:rsid w:val="00AB145F"/>
    <w:rsid w:val="00AB2CCE"/>
    <w:rsid w:val="00AC0EE1"/>
    <w:rsid w:val="00AC47E4"/>
    <w:rsid w:val="00AC4B08"/>
    <w:rsid w:val="00AF38AC"/>
    <w:rsid w:val="00B04E7C"/>
    <w:rsid w:val="00B07D18"/>
    <w:rsid w:val="00B22339"/>
    <w:rsid w:val="00B24613"/>
    <w:rsid w:val="00B42EC9"/>
    <w:rsid w:val="00B44478"/>
    <w:rsid w:val="00B45606"/>
    <w:rsid w:val="00B57AFE"/>
    <w:rsid w:val="00B64B60"/>
    <w:rsid w:val="00B755B4"/>
    <w:rsid w:val="00B8734D"/>
    <w:rsid w:val="00B95D81"/>
    <w:rsid w:val="00BA121D"/>
    <w:rsid w:val="00BA3213"/>
    <w:rsid w:val="00C13EBF"/>
    <w:rsid w:val="00C1675D"/>
    <w:rsid w:val="00C443CC"/>
    <w:rsid w:val="00C51E21"/>
    <w:rsid w:val="00C71DEA"/>
    <w:rsid w:val="00C91DA9"/>
    <w:rsid w:val="00C96F40"/>
    <w:rsid w:val="00CB1213"/>
    <w:rsid w:val="00CB1C03"/>
    <w:rsid w:val="00CB2079"/>
    <w:rsid w:val="00CC4312"/>
    <w:rsid w:val="00CF7CB9"/>
    <w:rsid w:val="00D03B44"/>
    <w:rsid w:val="00D1787A"/>
    <w:rsid w:val="00D369A7"/>
    <w:rsid w:val="00D66947"/>
    <w:rsid w:val="00D7637B"/>
    <w:rsid w:val="00D76D98"/>
    <w:rsid w:val="00D82284"/>
    <w:rsid w:val="00D92570"/>
    <w:rsid w:val="00DA0C5A"/>
    <w:rsid w:val="00DB2C00"/>
    <w:rsid w:val="00DC1B22"/>
    <w:rsid w:val="00DD6F0E"/>
    <w:rsid w:val="00E029B5"/>
    <w:rsid w:val="00E067EE"/>
    <w:rsid w:val="00E21B54"/>
    <w:rsid w:val="00E66A4C"/>
    <w:rsid w:val="00E8679D"/>
    <w:rsid w:val="00EA2C1B"/>
    <w:rsid w:val="00EA467D"/>
    <w:rsid w:val="00EE2DF4"/>
    <w:rsid w:val="00EE7E8C"/>
    <w:rsid w:val="00EF4C04"/>
    <w:rsid w:val="00F03014"/>
    <w:rsid w:val="00F7666D"/>
    <w:rsid w:val="00F81A79"/>
    <w:rsid w:val="00FA4240"/>
    <w:rsid w:val="00FB60D2"/>
    <w:rsid w:val="00FD5195"/>
    <w:rsid w:val="00FE6FE4"/>
    <w:rsid w:val="00FF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835774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val="en-US" w:eastAsia="pl-PL"/>
    </w:rPr>
  </w:style>
  <w:style w:type="character" w:customStyle="1" w:styleId="m3Znak">
    <w:name w:val="m3 Znak"/>
    <w:link w:val="m3"/>
    <w:rsid w:val="00835774"/>
    <w:rPr>
      <w:rFonts w:cs="Calibri"/>
      <w:szCs w:val="24"/>
      <w:lang w:val="en-US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character" w:styleId="Tekstzastpczy">
    <w:name w:val="Placeholder Text"/>
    <w:basedOn w:val="Domylnaczcionkaakapitu"/>
    <w:uiPriority w:val="99"/>
    <w:semiHidden/>
    <w:rsid w:val="00A5030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7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2E6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0546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1213AF3-09CD-0545-81F9-B2B51683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1068</Words>
  <Characters>6411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Załąznik nr XX Słownik</vt:lpstr>
      <vt:lpstr>Załąznik nr XX Słownik</vt:lpstr>
    </vt:vector>
  </TitlesOfParts>
  <Company/>
  <LinksUpToDate>false</LinksUpToDate>
  <CharactersWithSpaces>7465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Załąznik nr XX Słownik</dc:title>
  <dc:subject/>
  <dc:creator>Marek Matulewicz</dc:creator>
  <cp:keywords/>
  <dc:description/>
  <cp:lastModifiedBy>Anna Koźlińska</cp:lastModifiedBy>
  <cp:revision>37</cp:revision>
  <cp:lastPrinted>2021-05-31T08:38:00Z</cp:lastPrinted>
  <dcterms:created xsi:type="dcterms:W3CDTF">2020-12-29T12:10:00Z</dcterms:created>
  <dcterms:modified xsi:type="dcterms:W3CDTF">2024-07-24T08:49:00Z</dcterms:modified>
</cp:coreProperties>
</file>