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1B65" w14:textId="22AE73FD" w:rsidR="00A27966" w:rsidRPr="008E729E" w:rsidRDefault="00A27966" w:rsidP="001300E0">
      <w:pPr>
        <w:pStyle w:val="Nagwek1"/>
        <w:spacing w:before="0" w:after="120" w:line="240" w:lineRule="auto"/>
        <w:jc w:val="center"/>
        <w:rPr>
          <w:rFonts w:ascii="Cambria" w:hAnsi="Cambria"/>
          <w:color w:val="000000"/>
          <w:sz w:val="24"/>
          <w:szCs w:val="24"/>
        </w:rPr>
      </w:pPr>
      <w:bookmarkStart w:id="0" w:name="_Hlk483502366"/>
      <w:r w:rsidRPr="008E729E">
        <w:rPr>
          <w:rFonts w:ascii="Cambria" w:hAnsi="Cambria"/>
          <w:color w:val="000000"/>
          <w:sz w:val="24"/>
          <w:szCs w:val="24"/>
        </w:rPr>
        <w:t xml:space="preserve">Załącznik nr </w:t>
      </w:r>
      <w:r w:rsidR="00AA15BF" w:rsidRPr="008E729E">
        <w:rPr>
          <w:rFonts w:ascii="Cambria" w:hAnsi="Cambria"/>
          <w:color w:val="000000"/>
          <w:sz w:val="24"/>
          <w:szCs w:val="24"/>
        </w:rPr>
        <w:t>2</w:t>
      </w:r>
    </w:p>
    <w:bookmarkEnd w:id="0"/>
    <w:p w14:paraId="0C73D0DB" w14:textId="740A2D8A" w:rsidR="00A27966" w:rsidRPr="008E729E" w:rsidRDefault="00A27966" w:rsidP="001300E0">
      <w:pPr>
        <w:pStyle w:val="Nagwek1"/>
        <w:spacing w:before="0" w:after="120" w:line="240" w:lineRule="auto"/>
        <w:jc w:val="center"/>
        <w:rPr>
          <w:rFonts w:ascii="Cambria" w:hAnsi="Cambria"/>
          <w:color w:val="000000"/>
          <w:sz w:val="24"/>
          <w:szCs w:val="24"/>
          <w:lang w:val="x-none"/>
        </w:rPr>
      </w:pPr>
      <w:r w:rsidRPr="008E729E">
        <w:rPr>
          <w:rFonts w:ascii="Cambria" w:hAnsi="Cambria"/>
          <w:color w:val="000000"/>
          <w:sz w:val="24"/>
          <w:szCs w:val="24"/>
        </w:rPr>
        <w:t xml:space="preserve">Plan Gospodarczy </w:t>
      </w:r>
      <w:r w:rsidR="00A72CBD" w:rsidRPr="008E729E">
        <w:rPr>
          <w:rFonts w:ascii="Cambria" w:hAnsi="Cambria"/>
          <w:color w:val="000000"/>
          <w:sz w:val="24"/>
          <w:szCs w:val="24"/>
        </w:rPr>
        <w:t>Spółki</w:t>
      </w:r>
      <w:r w:rsidRPr="008E729E">
        <w:rPr>
          <w:rFonts w:ascii="Cambria" w:hAnsi="Cambria"/>
          <w:color w:val="000000"/>
          <w:sz w:val="24"/>
          <w:szCs w:val="24"/>
        </w:rPr>
        <w:t xml:space="preserve"> na Okres Powierzenia</w:t>
      </w:r>
    </w:p>
    <w:p w14:paraId="522008E5" w14:textId="77777777" w:rsidR="008108B4" w:rsidRPr="008E729E" w:rsidRDefault="008108B4" w:rsidP="008108B4">
      <w:pPr>
        <w:pStyle w:val="Styl3"/>
        <w:numPr>
          <w:ilvl w:val="0"/>
          <w:numId w:val="0"/>
        </w:numPr>
        <w:outlineLvl w:val="3"/>
        <w:rPr>
          <w:rFonts w:cs="Cambria"/>
          <w:bCs w:val="0"/>
          <w:sz w:val="24"/>
          <w:szCs w:val="24"/>
        </w:rPr>
      </w:pPr>
    </w:p>
    <w:p w14:paraId="320220E5" w14:textId="0AB70EEF" w:rsidR="008108B4" w:rsidRPr="008E729E" w:rsidRDefault="002512E8" w:rsidP="002512E8">
      <w:pPr>
        <w:rPr>
          <w:szCs w:val="24"/>
        </w:rPr>
      </w:pPr>
      <w:r w:rsidRPr="008E729E">
        <w:rPr>
          <w:szCs w:val="24"/>
        </w:rPr>
        <w:t xml:space="preserve">W Okresie Powierzenia działalność </w:t>
      </w:r>
      <w:r w:rsidR="00A72CBD" w:rsidRPr="008E729E">
        <w:rPr>
          <w:szCs w:val="24"/>
        </w:rPr>
        <w:t>Spółki</w:t>
      </w:r>
      <w:r w:rsidR="00F1674C" w:rsidRPr="008E729E">
        <w:rPr>
          <w:szCs w:val="24"/>
        </w:rPr>
        <w:t xml:space="preserve"> będzie prowadzona z uwzględnieniem prognozowanych wartości kosztów i przychodów</w:t>
      </w:r>
      <w:r w:rsidR="00701A7B" w:rsidRPr="008E729E">
        <w:rPr>
          <w:szCs w:val="24"/>
        </w:rPr>
        <w:t xml:space="preserve"> ujętych w niniejszym Planie Gospodarczym</w:t>
      </w:r>
      <w:r w:rsidR="00F1674C" w:rsidRPr="008E729E">
        <w:rPr>
          <w:szCs w:val="24"/>
        </w:rPr>
        <w:t>, na podstawie których kalkulowana jest Rekompensata</w:t>
      </w:r>
      <w:r w:rsidR="00E57499" w:rsidRPr="008E729E">
        <w:rPr>
          <w:szCs w:val="24"/>
        </w:rPr>
        <w:t xml:space="preserve"> </w:t>
      </w:r>
      <w:r w:rsidR="00701A7B" w:rsidRPr="008E729E">
        <w:rPr>
          <w:szCs w:val="24"/>
        </w:rPr>
        <w:t>(</w:t>
      </w:r>
      <w:r w:rsidR="00E57499" w:rsidRPr="008E729E">
        <w:rPr>
          <w:szCs w:val="24"/>
        </w:rPr>
        <w:t>w tym, zgodnie z</w:t>
      </w:r>
      <w:r w:rsidR="00FE4504" w:rsidRPr="008E729E">
        <w:rPr>
          <w:szCs w:val="24"/>
        </w:rPr>
        <w:t> </w:t>
      </w:r>
      <w:r w:rsidR="00E57499" w:rsidRPr="008E729E">
        <w:rPr>
          <w:szCs w:val="24"/>
        </w:rPr>
        <w:t xml:space="preserve">Załącznikiem nr </w:t>
      </w:r>
      <w:r w:rsidR="001F4BC5" w:rsidRPr="008E729E">
        <w:rPr>
          <w:szCs w:val="24"/>
        </w:rPr>
        <w:t>1</w:t>
      </w:r>
      <w:r w:rsidR="00E57499" w:rsidRPr="008E729E">
        <w:rPr>
          <w:szCs w:val="24"/>
        </w:rPr>
        <w:t>, ma</w:t>
      </w:r>
      <w:r w:rsidR="0005679B" w:rsidRPr="008E729E">
        <w:rPr>
          <w:szCs w:val="24"/>
        </w:rPr>
        <w:t>ksymalna Rekompensata Pienię</w:t>
      </w:r>
      <w:r w:rsidR="00701A7B" w:rsidRPr="008E729E">
        <w:rPr>
          <w:szCs w:val="24"/>
        </w:rPr>
        <w:t>żna)</w:t>
      </w:r>
      <w:r w:rsidR="00F1674C" w:rsidRPr="008E729E">
        <w:rPr>
          <w:szCs w:val="24"/>
        </w:rPr>
        <w:t xml:space="preserve">. Plan Gospodarczy zawiera prognozę wartości ekonomicznych </w:t>
      </w:r>
      <w:r w:rsidR="00365CD1" w:rsidRPr="008E729E">
        <w:rPr>
          <w:szCs w:val="24"/>
        </w:rPr>
        <w:t>ujętych w wartościach netto (</w:t>
      </w:r>
      <w:r w:rsidR="00365CD1" w:rsidRPr="0075701E">
        <w:rPr>
          <w:b/>
          <w:szCs w:val="24"/>
        </w:rPr>
        <w:t xml:space="preserve">bez </w:t>
      </w:r>
      <w:r w:rsidR="00A23D00" w:rsidRPr="0075701E">
        <w:rPr>
          <w:b/>
          <w:szCs w:val="24"/>
        </w:rPr>
        <w:t xml:space="preserve">podatku </w:t>
      </w:r>
      <w:r w:rsidR="00365CD1" w:rsidRPr="0075701E">
        <w:rPr>
          <w:b/>
          <w:szCs w:val="24"/>
        </w:rPr>
        <w:t>VAT</w:t>
      </w:r>
      <w:r w:rsidR="00B1190D" w:rsidRPr="0075701E">
        <w:rPr>
          <w:b/>
          <w:szCs w:val="24"/>
        </w:rPr>
        <w:t>, chyba</w:t>
      </w:r>
      <w:r w:rsidR="0097147A" w:rsidRPr="0075701E">
        <w:rPr>
          <w:b/>
          <w:szCs w:val="24"/>
        </w:rPr>
        <w:t>,</w:t>
      </w:r>
      <w:r w:rsidR="00B1190D" w:rsidRPr="0075701E">
        <w:rPr>
          <w:b/>
          <w:szCs w:val="24"/>
        </w:rPr>
        <w:t xml:space="preserve"> że wyraźnie wskazano inaczej</w:t>
      </w:r>
      <w:r w:rsidR="00365CD1" w:rsidRPr="008E729E">
        <w:rPr>
          <w:szCs w:val="24"/>
        </w:rPr>
        <w:t>)</w:t>
      </w:r>
      <w:r w:rsidR="00B1190D" w:rsidRPr="008E729E">
        <w:rPr>
          <w:szCs w:val="24"/>
        </w:rPr>
        <w:t>,</w:t>
      </w:r>
      <w:r w:rsidR="00365CD1" w:rsidRPr="008E729E">
        <w:rPr>
          <w:szCs w:val="24"/>
        </w:rPr>
        <w:t xml:space="preserve"> </w:t>
      </w:r>
      <w:r w:rsidR="00F1674C" w:rsidRPr="008E729E">
        <w:rPr>
          <w:szCs w:val="24"/>
        </w:rPr>
        <w:t>na kolejne lata Okresu Powierzenia:</w:t>
      </w:r>
    </w:p>
    <w:p w14:paraId="16B4B3A8" w14:textId="77777777" w:rsidR="00365CD1" w:rsidRPr="008E729E" w:rsidRDefault="00365CD1" w:rsidP="002512E8">
      <w:pPr>
        <w:rPr>
          <w:szCs w:val="24"/>
        </w:rPr>
      </w:pPr>
    </w:p>
    <w:p w14:paraId="52574CDF" w14:textId="3F044B27" w:rsidR="00701A7B" w:rsidRPr="008E729E" w:rsidRDefault="00701A7B" w:rsidP="00701A7B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1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 xml:space="preserve">Prognoza rachunku zysków i strat </w:t>
      </w:r>
      <w:r w:rsidR="00A72CBD" w:rsidRPr="008E729E">
        <w:rPr>
          <w:szCs w:val="24"/>
        </w:rPr>
        <w:t>Spółki</w:t>
      </w:r>
    </w:p>
    <w:p w14:paraId="7A2CD72F" w14:textId="50A5DB0C" w:rsidR="00F1674C" w:rsidRPr="008E729E" w:rsidRDefault="00F1674C" w:rsidP="00F1674C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2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="00C255C5" w:rsidRPr="008E729E">
        <w:rPr>
          <w:szCs w:val="24"/>
        </w:rPr>
        <w:t>Zestawienie kosztów działalności powierzonej na potrzeby wyliczenia Rekompensaty</w:t>
      </w:r>
      <w:r w:rsidR="00FE4504" w:rsidRPr="008E729E">
        <w:rPr>
          <w:szCs w:val="24"/>
        </w:rPr>
        <w:t xml:space="preserve"> </w:t>
      </w:r>
      <w:r w:rsidR="00D627B9" w:rsidRPr="008E729E">
        <w:rPr>
          <w:szCs w:val="24"/>
        </w:rPr>
        <w:t>Pienięż</w:t>
      </w:r>
      <w:r w:rsidR="00FE4504" w:rsidRPr="008E729E">
        <w:rPr>
          <w:szCs w:val="24"/>
        </w:rPr>
        <w:t>nej</w:t>
      </w:r>
    </w:p>
    <w:p w14:paraId="25480D8D" w14:textId="45DE981B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>Tabela </w:t>
      </w:r>
      <w:r w:rsidR="00732C4A" w:rsidRPr="008E729E">
        <w:rPr>
          <w:szCs w:val="24"/>
        </w:rPr>
        <w:t>3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 xml:space="preserve">Zestawienie przychodów działalności powierzonej na potrzeby wyliczenia </w:t>
      </w:r>
      <w:r w:rsidR="00D627B9" w:rsidRPr="008E729E">
        <w:rPr>
          <w:szCs w:val="24"/>
        </w:rPr>
        <w:t>Rekompensaty P</w:t>
      </w:r>
      <w:r w:rsidR="00FE4504" w:rsidRPr="008E729E">
        <w:rPr>
          <w:szCs w:val="24"/>
        </w:rPr>
        <w:t>ieniężnej</w:t>
      </w:r>
    </w:p>
    <w:p w14:paraId="583CAE37" w14:textId="0AC5EC2E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>Tabela </w:t>
      </w:r>
      <w:r w:rsidR="00732C4A" w:rsidRPr="008E729E">
        <w:rPr>
          <w:szCs w:val="24"/>
        </w:rPr>
        <w:t>4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 xml:space="preserve">Zestawienie przychodów Działalności dodatkowej na potrzeby wyliczenia </w:t>
      </w:r>
      <w:r w:rsidR="00D627B9" w:rsidRPr="008E729E">
        <w:rPr>
          <w:szCs w:val="24"/>
        </w:rPr>
        <w:t>Rekompensaty P</w:t>
      </w:r>
      <w:r w:rsidR="00FE4504" w:rsidRPr="008E729E">
        <w:rPr>
          <w:szCs w:val="24"/>
        </w:rPr>
        <w:t>ieniężnej</w:t>
      </w:r>
    </w:p>
    <w:p w14:paraId="2AF46593" w14:textId="03F9D4E1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>Tabela </w:t>
      </w:r>
      <w:r w:rsidR="00732C4A" w:rsidRPr="008E729E">
        <w:rPr>
          <w:szCs w:val="24"/>
        </w:rPr>
        <w:t>5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 xml:space="preserve">Zestawienie kosztów Działalności dodatkowej na potrzeby wyliczenia </w:t>
      </w:r>
      <w:r w:rsidR="00FE4504" w:rsidRPr="008E729E">
        <w:rPr>
          <w:szCs w:val="24"/>
        </w:rPr>
        <w:t xml:space="preserve">Rekompensaty </w:t>
      </w:r>
      <w:r w:rsidR="00D627B9" w:rsidRPr="008E729E">
        <w:rPr>
          <w:szCs w:val="24"/>
        </w:rPr>
        <w:t>Pienięż</w:t>
      </w:r>
      <w:r w:rsidR="00FE4504" w:rsidRPr="008E729E">
        <w:rPr>
          <w:szCs w:val="24"/>
        </w:rPr>
        <w:t>nej</w:t>
      </w:r>
    </w:p>
    <w:p w14:paraId="7CE979F6" w14:textId="3906659C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6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 xml:space="preserve">Zestawienie wartości pozostałych (z wyłączeniem Rekompensaty </w:t>
      </w:r>
      <w:r w:rsidR="00D627B9" w:rsidRPr="008E729E">
        <w:rPr>
          <w:szCs w:val="24"/>
        </w:rPr>
        <w:t>P</w:t>
      </w:r>
      <w:r w:rsidRPr="008E729E">
        <w:rPr>
          <w:szCs w:val="24"/>
        </w:rPr>
        <w:t xml:space="preserve">ieniężnej) czynnych form pomocy publicznej nieuwzględnionych jako przychody, przeliczonych </w:t>
      </w:r>
      <w:r w:rsidR="009719C1" w:rsidRPr="008E729E">
        <w:rPr>
          <w:szCs w:val="24"/>
        </w:rPr>
        <w:t xml:space="preserve">jako </w:t>
      </w:r>
      <w:r w:rsidR="009719C1" w:rsidRPr="008E729E">
        <w:t>rozliczenie dokapitalizowania w Okresie Powierzenia w wysokości wartości odpisów amortyzacyjnych majątku zakupionego ze środków z dokapitalizowania</w:t>
      </w:r>
      <w:r w:rsidR="00147E84" w:rsidRPr="008E729E">
        <w:t xml:space="preserve"> oraz otrzymanego w formie aportu</w:t>
      </w:r>
    </w:p>
    <w:p w14:paraId="23F8D019" w14:textId="4C49FF40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7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>Maksymalny Rozsądny Zysk według Umowy</w:t>
      </w:r>
    </w:p>
    <w:p w14:paraId="1B542122" w14:textId="0FBE2381" w:rsidR="00633082" w:rsidRPr="008E729E" w:rsidRDefault="00633082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8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="00C255C5" w:rsidRPr="008E729E">
        <w:rPr>
          <w:szCs w:val="24"/>
        </w:rPr>
        <w:t xml:space="preserve">Maksymalna Rekompensata </w:t>
      </w:r>
      <w:r w:rsidR="00D627B9" w:rsidRPr="008E729E">
        <w:rPr>
          <w:szCs w:val="24"/>
        </w:rPr>
        <w:t>P</w:t>
      </w:r>
      <w:r w:rsidR="00C255C5" w:rsidRPr="008E729E">
        <w:rPr>
          <w:szCs w:val="24"/>
        </w:rPr>
        <w:t xml:space="preserve">ieniężna dla </w:t>
      </w:r>
      <w:r w:rsidR="00A72CBD" w:rsidRPr="008E729E">
        <w:rPr>
          <w:szCs w:val="24"/>
        </w:rPr>
        <w:t xml:space="preserve">Spółki </w:t>
      </w:r>
      <w:r w:rsidR="00C255C5" w:rsidRPr="008E729E">
        <w:rPr>
          <w:szCs w:val="24"/>
        </w:rPr>
        <w:t>z Rozsądnym Zyskiem  (według Umowy)</w:t>
      </w:r>
    </w:p>
    <w:p w14:paraId="0587C4DC" w14:textId="115D8F26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9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>Weryfikacja Rekompensaty zgodnie z przepisami pomocy publicznej (w całym Okresie Powierzenia)</w:t>
      </w:r>
    </w:p>
    <w:p w14:paraId="4497E58B" w14:textId="0D72F3E7" w:rsidR="00C255C5" w:rsidRPr="008E729E" w:rsidRDefault="00C255C5" w:rsidP="00C255C5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10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>Podsumowanie wy</w:t>
      </w:r>
      <w:r w:rsidR="00B1190D" w:rsidRPr="008E729E">
        <w:rPr>
          <w:szCs w:val="24"/>
        </w:rPr>
        <w:t>ników wyliczenia prognozowanej R</w:t>
      </w:r>
      <w:r w:rsidRPr="008E729E">
        <w:rPr>
          <w:szCs w:val="24"/>
        </w:rPr>
        <w:t>ekompensaty i</w:t>
      </w:r>
      <w:r w:rsidR="00A81025" w:rsidRPr="008E729E">
        <w:rPr>
          <w:szCs w:val="24"/>
        </w:rPr>
        <w:t> </w:t>
      </w:r>
      <w:r w:rsidRPr="008E729E">
        <w:rPr>
          <w:szCs w:val="24"/>
        </w:rPr>
        <w:t xml:space="preserve"> wskazanie oceny jej wartości</w:t>
      </w:r>
    </w:p>
    <w:p w14:paraId="4EA92CFE" w14:textId="7E08DB58" w:rsidR="00F1674C" w:rsidRPr="008E729E" w:rsidRDefault="00025E46" w:rsidP="00F1674C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11</w:t>
      </w:r>
      <w:r w:rsidRPr="008E729E">
        <w:rPr>
          <w:szCs w:val="24"/>
        </w:rPr>
        <w:t>:</w:t>
      </w:r>
      <w:r w:rsidR="002B6188" w:rsidRPr="008E729E">
        <w:rPr>
          <w:szCs w:val="24"/>
        </w:rPr>
        <w:t> </w:t>
      </w:r>
      <w:r w:rsidRPr="008E729E">
        <w:rPr>
          <w:szCs w:val="24"/>
        </w:rPr>
        <w:t>Maksymalny poziom referencyjny wskaźnika udziału działalności zleconej</w:t>
      </w:r>
      <w:r w:rsidR="00C255C5" w:rsidRPr="008E729E">
        <w:rPr>
          <w:szCs w:val="24"/>
        </w:rPr>
        <w:t xml:space="preserve"> przez podmioty inne niż </w:t>
      </w:r>
      <w:r w:rsidR="0075701E">
        <w:rPr>
          <w:szCs w:val="24"/>
        </w:rPr>
        <w:t>Miasto</w:t>
      </w:r>
    </w:p>
    <w:p w14:paraId="3F87564C" w14:textId="4574EA50" w:rsidR="004E6733" w:rsidRPr="008E729E" w:rsidRDefault="00025E46" w:rsidP="009719C1">
      <w:pPr>
        <w:pStyle w:val="Akapitzlist"/>
        <w:numPr>
          <w:ilvl w:val="0"/>
          <w:numId w:val="4"/>
        </w:numPr>
        <w:rPr>
          <w:szCs w:val="24"/>
        </w:rPr>
      </w:pPr>
      <w:r w:rsidRPr="008E729E">
        <w:rPr>
          <w:szCs w:val="24"/>
        </w:rPr>
        <w:lastRenderedPageBreak/>
        <w:t>Tabela</w:t>
      </w:r>
      <w:r w:rsidR="00241681" w:rsidRPr="008E729E">
        <w:rPr>
          <w:szCs w:val="24"/>
        </w:rPr>
        <w:t xml:space="preserve"> </w:t>
      </w:r>
      <w:r w:rsidR="009719C1" w:rsidRPr="008E729E">
        <w:rPr>
          <w:szCs w:val="24"/>
        </w:rPr>
        <w:t>12</w:t>
      </w:r>
      <w:r w:rsidR="00241681" w:rsidRPr="008E729E">
        <w:rPr>
          <w:szCs w:val="24"/>
        </w:rPr>
        <w:t>: </w:t>
      </w:r>
      <w:r w:rsidRPr="008E729E">
        <w:rPr>
          <w:szCs w:val="24"/>
        </w:rPr>
        <w:t xml:space="preserve">Prognoza </w:t>
      </w:r>
      <w:r w:rsidR="00773499" w:rsidRPr="008E729E">
        <w:rPr>
          <w:szCs w:val="24"/>
        </w:rPr>
        <w:t>wskaźników efektywności</w:t>
      </w:r>
    </w:p>
    <w:p w14:paraId="73136F70" w14:textId="7D7E30AA" w:rsidR="00476EA8" w:rsidRPr="008E729E" w:rsidRDefault="00476EA8" w:rsidP="00524195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t xml:space="preserve">Tabela </w:t>
      </w:r>
      <w:r w:rsidR="00A10CEA" w:rsidRPr="008E729E">
        <w:rPr>
          <w:b/>
          <w:szCs w:val="24"/>
        </w:rPr>
        <w:t>1</w:t>
      </w:r>
      <w:r w:rsidRPr="008E729E">
        <w:rPr>
          <w:b/>
          <w:szCs w:val="24"/>
        </w:rPr>
        <w:t>: Prognoza rachunku zysków i strat</w:t>
      </w:r>
      <w:r w:rsidR="00C742BA" w:rsidRPr="008E729E">
        <w:rPr>
          <w:b/>
          <w:szCs w:val="24"/>
        </w:rPr>
        <w:t xml:space="preserve"> Spółki</w:t>
      </w:r>
    </w:p>
    <w:p w14:paraId="4BA715D2" w14:textId="7B8E6A49" w:rsidR="00476EA8" w:rsidRPr="008E729E" w:rsidRDefault="00EF728E" w:rsidP="00732C4A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720E16BB" wp14:editId="47688013">
            <wp:extent cx="6299860" cy="2974769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9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C7E2" w14:textId="76B7A3DC" w:rsidR="00F62503" w:rsidRPr="008E729E" w:rsidRDefault="00524195" w:rsidP="00273E5F">
      <w:pPr>
        <w:overflowPunct/>
        <w:autoSpaceDE/>
        <w:autoSpaceDN/>
        <w:adjustRightInd/>
        <w:spacing w:before="240" w:line="240" w:lineRule="auto"/>
        <w:textAlignment w:val="auto"/>
        <w:rPr>
          <w:szCs w:val="24"/>
        </w:rPr>
      </w:pPr>
      <w:r w:rsidRPr="008E729E">
        <w:rPr>
          <w:szCs w:val="24"/>
        </w:rPr>
        <w:t>Tabel</w:t>
      </w:r>
      <w:r w:rsidR="00273E5F" w:rsidRPr="008E729E">
        <w:rPr>
          <w:szCs w:val="24"/>
        </w:rPr>
        <w:t>a</w:t>
      </w:r>
      <w:r w:rsidR="00A10CEA" w:rsidRPr="008E729E">
        <w:rPr>
          <w:szCs w:val="24"/>
        </w:rPr>
        <w:t xml:space="preserve"> 1</w:t>
      </w:r>
      <w:r w:rsidRPr="008E729E">
        <w:rPr>
          <w:szCs w:val="24"/>
        </w:rPr>
        <w:t xml:space="preserve"> przedstawia plan podstawowych pozycji rachunku i strat Spółki, przygotowany w oparciu o dane prognozowane </w:t>
      </w:r>
      <w:r w:rsidR="00EF728E" w:rsidRPr="008E729E">
        <w:rPr>
          <w:szCs w:val="24"/>
        </w:rPr>
        <w:t>w zakresie kosztów oraz przychodów</w:t>
      </w:r>
      <w:r w:rsidR="009719C1" w:rsidRPr="008E729E">
        <w:rPr>
          <w:szCs w:val="24"/>
        </w:rPr>
        <w:t xml:space="preserve"> Spółki (Tabele 2-5)</w:t>
      </w:r>
      <w:r w:rsidR="00241681" w:rsidRPr="008E729E">
        <w:rPr>
          <w:szCs w:val="24"/>
        </w:rPr>
        <w:t>.</w:t>
      </w:r>
    </w:p>
    <w:p w14:paraId="63FCF620" w14:textId="234CF2BD" w:rsidR="00A21A88" w:rsidRPr="008E729E" w:rsidRDefault="00A21A88" w:rsidP="00273E5F">
      <w:pPr>
        <w:overflowPunct/>
        <w:autoSpaceDE/>
        <w:autoSpaceDN/>
        <w:adjustRightInd/>
        <w:spacing w:before="240" w:line="240" w:lineRule="auto"/>
        <w:textAlignment w:val="auto"/>
        <w:rPr>
          <w:szCs w:val="24"/>
        </w:rPr>
      </w:pPr>
    </w:p>
    <w:p w14:paraId="364D3022" w14:textId="77777777" w:rsidR="00732C4A" w:rsidRPr="008E729E" w:rsidRDefault="00732C4A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br w:type="page"/>
      </w:r>
    </w:p>
    <w:p w14:paraId="7A7B057C" w14:textId="16B84574" w:rsidR="00476EA8" w:rsidRPr="008E729E" w:rsidRDefault="00476EA8" w:rsidP="00732C4A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lastRenderedPageBreak/>
        <w:t>Tabel</w:t>
      </w:r>
      <w:r w:rsidR="00B71684" w:rsidRPr="008E729E">
        <w:rPr>
          <w:b/>
          <w:szCs w:val="24"/>
        </w:rPr>
        <w:t>e</w:t>
      </w:r>
      <w:r w:rsidRPr="008E729E">
        <w:rPr>
          <w:b/>
          <w:szCs w:val="24"/>
        </w:rPr>
        <w:t xml:space="preserve"> </w:t>
      </w:r>
      <w:r w:rsidR="00A10CEA" w:rsidRPr="008E729E">
        <w:rPr>
          <w:b/>
          <w:szCs w:val="24"/>
        </w:rPr>
        <w:t>2</w:t>
      </w:r>
      <w:r w:rsidR="00B71684" w:rsidRPr="008E729E">
        <w:rPr>
          <w:b/>
          <w:szCs w:val="24"/>
        </w:rPr>
        <w:t>-</w:t>
      </w:r>
      <w:r w:rsidR="00A10CEA" w:rsidRPr="008E729E">
        <w:rPr>
          <w:b/>
          <w:szCs w:val="24"/>
        </w:rPr>
        <w:t>8</w:t>
      </w:r>
      <w:r w:rsidRPr="008E729E">
        <w:rPr>
          <w:b/>
          <w:szCs w:val="24"/>
        </w:rPr>
        <w:t xml:space="preserve">: Zestawienie </w:t>
      </w:r>
      <w:r w:rsidR="00B71684" w:rsidRPr="008E729E">
        <w:rPr>
          <w:b/>
          <w:szCs w:val="24"/>
        </w:rPr>
        <w:t xml:space="preserve">składowych i wyliczenie maksymalnej Rekompensaty </w:t>
      </w:r>
      <w:r w:rsidR="00D627B9" w:rsidRPr="008E729E">
        <w:rPr>
          <w:b/>
          <w:szCs w:val="24"/>
        </w:rPr>
        <w:t>Pienięż</w:t>
      </w:r>
      <w:r w:rsidR="00B71684" w:rsidRPr="008E729E">
        <w:rPr>
          <w:b/>
          <w:szCs w:val="24"/>
        </w:rPr>
        <w:t xml:space="preserve">nej </w:t>
      </w:r>
      <w:r w:rsidR="00732C4A" w:rsidRPr="008E729E">
        <w:rPr>
          <w:b/>
          <w:szCs w:val="24"/>
        </w:rPr>
        <w:t xml:space="preserve">netto </w:t>
      </w:r>
      <w:r w:rsidR="00B71684" w:rsidRPr="008E729E">
        <w:rPr>
          <w:b/>
          <w:szCs w:val="24"/>
        </w:rPr>
        <w:t xml:space="preserve">dla </w:t>
      </w:r>
      <w:r w:rsidR="00C742BA" w:rsidRPr="008E729E">
        <w:rPr>
          <w:b/>
          <w:szCs w:val="24"/>
        </w:rPr>
        <w:t>Spółki</w:t>
      </w:r>
    </w:p>
    <w:p w14:paraId="5C8E5A69" w14:textId="67DC23E6" w:rsidR="00476EA8" w:rsidRPr="008E729E" w:rsidRDefault="00476EA8" w:rsidP="0011249C">
      <w:pPr>
        <w:overflowPunct/>
        <w:autoSpaceDE/>
        <w:autoSpaceDN/>
        <w:adjustRightInd/>
        <w:spacing w:line="240" w:lineRule="auto"/>
        <w:ind w:left="-709"/>
        <w:jc w:val="left"/>
        <w:textAlignment w:val="auto"/>
        <w:rPr>
          <w:b/>
          <w:szCs w:val="24"/>
        </w:rPr>
      </w:pPr>
    </w:p>
    <w:p w14:paraId="34566A72" w14:textId="11D78F7B" w:rsidR="00EF728E" w:rsidRPr="008E729E" w:rsidRDefault="001E36F4" w:rsidP="00241681">
      <w:pPr>
        <w:overflowPunct/>
        <w:autoSpaceDE/>
        <w:autoSpaceDN/>
        <w:adjustRightInd/>
        <w:spacing w:line="240" w:lineRule="auto"/>
        <w:textAlignment w:val="auto"/>
        <w:rPr>
          <w:b/>
          <w:szCs w:val="24"/>
        </w:rPr>
      </w:pPr>
      <w:r w:rsidRPr="008E729E">
        <w:rPr>
          <w:szCs w:val="24"/>
        </w:rPr>
        <w:t xml:space="preserve">W poszczególnych Tabelach </w:t>
      </w:r>
      <w:r w:rsidR="00A10CEA" w:rsidRPr="008E729E">
        <w:rPr>
          <w:szCs w:val="24"/>
        </w:rPr>
        <w:t>2</w:t>
      </w:r>
      <w:r w:rsidRPr="008E729E">
        <w:rPr>
          <w:szCs w:val="24"/>
        </w:rPr>
        <w:t>-</w:t>
      </w:r>
      <w:r w:rsidR="00A10CEA" w:rsidRPr="008E729E">
        <w:rPr>
          <w:szCs w:val="24"/>
        </w:rPr>
        <w:t>7</w:t>
      </w:r>
      <w:r w:rsidR="00524195" w:rsidRPr="008E729E">
        <w:rPr>
          <w:szCs w:val="24"/>
        </w:rPr>
        <w:t xml:space="preserve"> zawarto elementy składników znajdujących się we wzorze na maksymalną Rekompensatę </w:t>
      </w:r>
      <w:r w:rsidR="00D627B9" w:rsidRPr="008E729E">
        <w:rPr>
          <w:szCs w:val="24"/>
        </w:rPr>
        <w:t>Pienięż</w:t>
      </w:r>
      <w:r w:rsidR="00524195" w:rsidRPr="008E729E">
        <w:rPr>
          <w:szCs w:val="24"/>
        </w:rPr>
        <w:t xml:space="preserve">ną. W Tabeli </w:t>
      </w:r>
      <w:r w:rsidR="00A10CEA" w:rsidRPr="008E729E">
        <w:rPr>
          <w:szCs w:val="24"/>
        </w:rPr>
        <w:t>8</w:t>
      </w:r>
      <w:r w:rsidR="00524195" w:rsidRPr="008E729E">
        <w:rPr>
          <w:szCs w:val="24"/>
        </w:rPr>
        <w:t xml:space="preserve"> zaprezentowano wyliczenie maksymalnej wartości Rekompensaty </w:t>
      </w:r>
      <w:r w:rsidR="00D627B9" w:rsidRPr="008E729E">
        <w:rPr>
          <w:szCs w:val="24"/>
        </w:rPr>
        <w:t>Pienięż</w:t>
      </w:r>
      <w:r w:rsidR="00524195" w:rsidRPr="008E729E">
        <w:rPr>
          <w:szCs w:val="24"/>
        </w:rPr>
        <w:t xml:space="preserve">nej w rozumieniu Umowy, mając na względzie wartości z Tabel </w:t>
      </w:r>
      <w:r w:rsidR="00A10CEA" w:rsidRPr="008E729E">
        <w:rPr>
          <w:szCs w:val="24"/>
        </w:rPr>
        <w:t>2</w:t>
      </w:r>
      <w:r w:rsidR="00524195" w:rsidRPr="008E729E">
        <w:rPr>
          <w:szCs w:val="24"/>
        </w:rPr>
        <w:t>-</w:t>
      </w:r>
      <w:r w:rsidR="00A10CEA" w:rsidRPr="008E729E">
        <w:rPr>
          <w:szCs w:val="24"/>
        </w:rPr>
        <w:t>7</w:t>
      </w:r>
      <w:r w:rsidR="00524195" w:rsidRPr="008E729E">
        <w:rPr>
          <w:b/>
          <w:szCs w:val="24"/>
        </w:rPr>
        <w:t>.</w:t>
      </w:r>
    </w:p>
    <w:p w14:paraId="0E869787" w14:textId="46DAF9C6" w:rsidR="00F62503" w:rsidRPr="008E729E" w:rsidRDefault="009719C1" w:rsidP="00732C4A">
      <w:pPr>
        <w:overflowPunct/>
        <w:autoSpaceDE/>
        <w:autoSpaceDN/>
        <w:adjustRightInd/>
        <w:spacing w:before="240" w:line="240" w:lineRule="auto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78967AB2" wp14:editId="3504FCF3">
            <wp:extent cx="6617677" cy="592074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61" cy="592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503" w:rsidRPr="008E729E">
        <w:rPr>
          <w:b/>
          <w:szCs w:val="24"/>
        </w:rPr>
        <w:br w:type="page"/>
      </w:r>
    </w:p>
    <w:p w14:paraId="10C424B5" w14:textId="203B6183" w:rsidR="00476EA8" w:rsidRPr="008E729E" w:rsidRDefault="00476EA8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lastRenderedPageBreak/>
        <w:t xml:space="preserve">Tabela </w:t>
      </w:r>
      <w:r w:rsidR="00EF728E" w:rsidRPr="008E729E">
        <w:rPr>
          <w:b/>
          <w:szCs w:val="24"/>
        </w:rPr>
        <w:t>9</w:t>
      </w:r>
      <w:r w:rsidRPr="008E729E">
        <w:rPr>
          <w:b/>
          <w:szCs w:val="24"/>
        </w:rPr>
        <w:t>: Weryfikacja Rekompensaty zgodnie z przepisami pomocy publicznej (w całym Okresie Powierzenia)</w:t>
      </w:r>
    </w:p>
    <w:p w14:paraId="4FC0ECD9" w14:textId="590ED58F" w:rsidR="00476EA8" w:rsidRPr="008E729E" w:rsidRDefault="00EF728E" w:rsidP="009719C1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0CBB8A53" wp14:editId="72C09739">
            <wp:extent cx="6299200" cy="1388110"/>
            <wp:effectExtent l="0" t="0" r="635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2A68" w14:textId="48F88D35" w:rsidR="00524195" w:rsidRPr="008E729E" w:rsidRDefault="00524195" w:rsidP="00273E5F">
      <w:pPr>
        <w:overflowPunct/>
        <w:autoSpaceDE/>
        <w:autoSpaceDN/>
        <w:adjustRightInd/>
        <w:spacing w:before="240" w:line="240" w:lineRule="auto"/>
        <w:textAlignment w:val="auto"/>
        <w:rPr>
          <w:szCs w:val="24"/>
        </w:rPr>
      </w:pPr>
      <w:r w:rsidRPr="008E729E">
        <w:rPr>
          <w:szCs w:val="24"/>
        </w:rPr>
        <w:t xml:space="preserve">W Tabeli </w:t>
      </w:r>
      <w:r w:rsidR="00EF728E" w:rsidRPr="008E729E">
        <w:rPr>
          <w:szCs w:val="24"/>
        </w:rPr>
        <w:t>9</w:t>
      </w:r>
      <w:r w:rsidRPr="008E729E">
        <w:rPr>
          <w:szCs w:val="24"/>
        </w:rPr>
        <w:t xml:space="preserve"> zamieszczone zostało porównanie łącznej wartości całkowitej </w:t>
      </w:r>
      <w:r w:rsidR="00241681" w:rsidRPr="008E729E">
        <w:rPr>
          <w:szCs w:val="24"/>
        </w:rPr>
        <w:t>R</w:t>
      </w:r>
      <w:r w:rsidRPr="008E729E">
        <w:rPr>
          <w:szCs w:val="24"/>
        </w:rPr>
        <w:t>ekompensaty w</w:t>
      </w:r>
      <w:r w:rsidR="006C231A" w:rsidRPr="008E729E">
        <w:rPr>
          <w:szCs w:val="24"/>
        </w:rPr>
        <w:t> </w:t>
      </w:r>
      <w:r w:rsidRPr="008E729E">
        <w:rPr>
          <w:szCs w:val="24"/>
        </w:rPr>
        <w:t xml:space="preserve">całym Okresie Powierzenia (Rekompensata </w:t>
      </w:r>
      <w:r w:rsidR="00D627B9" w:rsidRPr="008E729E">
        <w:rPr>
          <w:szCs w:val="24"/>
        </w:rPr>
        <w:t>Pienięż</w:t>
      </w:r>
      <w:r w:rsidRPr="008E729E">
        <w:rPr>
          <w:szCs w:val="24"/>
        </w:rPr>
        <w:t xml:space="preserve">na oraz ewentualne inne formy wsparcia) do wyniku finansowego netto, liczonego zgodnie z przepisami </w:t>
      </w:r>
      <w:r w:rsidR="00C75B97" w:rsidRPr="008E729E">
        <w:rPr>
          <w:szCs w:val="24"/>
        </w:rPr>
        <w:t>Rozporządzenia 1370</w:t>
      </w:r>
      <w:r w:rsidRPr="008E729E">
        <w:rPr>
          <w:szCs w:val="24"/>
        </w:rPr>
        <w:t xml:space="preserve"> (maksymalny poziom rekompensaty całkowitej</w:t>
      </w:r>
      <w:r w:rsidR="00A81025" w:rsidRPr="008E729E">
        <w:rPr>
          <w:szCs w:val="24"/>
        </w:rPr>
        <w:t xml:space="preserve"> według zasad pomocy publicznej</w:t>
      </w:r>
      <w:r w:rsidRPr="008E729E">
        <w:rPr>
          <w:szCs w:val="24"/>
        </w:rPr>
        <w:t xml:space="preserve">). </w:t>
      </w:r>
      <w:r w:rsidR="00C75B97" w:rsidRPr="008E729E">
        <w:rPr>
          <w:szCs w:val="24"/>
        </w:rPr>
        <w:t>Wykazano, że wartość planowanego dokapitalizowania pieniężnego jak i również aportu majątkowego Spółki jest wyższa niż wartość rozliczonego wsparcia, stąd margines bezpieczeństwa z uwzględnieniem nierozliczonego aportu gruntu oraz dokapitalizowania zarówno majątkowego oraz pieniężnego jest ujemny.</w:t>
      </w:r>
    </w:p>
    <w:p w14:paraId="59A6AEFF" w14:textId="77777777" w:rsidR="00524195" w:rsidRPr="008E729E" w:rsidRDefault="00524195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76A69685" w14:textId="4035B398" w:rsidR="00A10CEA" w:rsidRPr="008E729E" w:rsidRDefault="00A10CEA" w:rsidP="00A10CEA">
      <w:pPr>
        <w:overflowPunct/>
        <w:autoSpaceDE/>
        <w:autoSpaceDN/>
        <w:adjustRightInd/>
        <w:spacing w:line="240" w:lineRule="auto"/>
        <w:jc w:val="left"/>
        <w:textAlignment w:val="auto"/>
        <w:rPr>
          <w:noProof/>
          <w:lang w:eastAsia="pl-PL"/>
        </w:rPr>
      </w:pPr>
      <w:r w:rsidRPr="008E729E">
        <w:rPr>
          <w:b/>
          <w:szCs w:val="24"/>
        </w:rPr>
        <w:t xml:space="preserve">Tabela </w:t>
      </w:r>
      <w:r w:rsidR="00EF728E" w:rsidRPr="008E729E">
        <w:rPr>
          <w:b/>
          <w:szCs w:val="24"/>
        </w:rPr>
        <w:t>10</w:t>
      </w:r>
      <w:r w:rsidRPr="008E729E">
        <w:rPr>
          <w:b/>
          <w:szCs w:val="24"/>
        </w:rPr>
        <w:t>: Prognoza Rekompensaty</w:t>
      </w:r>
    </w:p>
    <w:p w14:paraId="6FE95C1B" w14:textId="2AF16CBE" w:rsidR="00A10CEA" w:rsidRPr="008E729E" w:rsidRDefault="00522043" w:rsidP="00522043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5B5D5A58" wp14:editId="50CCCC7E">
            <wp:extent cx="6293922" cy="10153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819" cy="102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784F" w14:textId="77777777" w:rsidR="00A10CEA" w:rsidRPr="008E729E" w:rsidRDefault="00A10CEA" w:rsidP="00A10CEA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58CE1FCB" w14:textId="3C610694" w:rsidR="00A10CEA" w:rsidRPr="008E729E" w:rsidRDefault="00A10CEA" w:rsidP="00522043">
      <w:pPr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8E729E">
        <w:rPr>
          <w:szCs w:val="24"/>
        </w:rPr>
        <w:t>Tabela 1</w:t>
      </w:r>
      <w:r w:rsidR="00522043" w:rsidRPr="008E729E">
        <w:rPr>
          <w:szCs w:val="24"/>
        </w:rPr>
        <w:t>0</w:t>
      </w:r>
      <w:r w:rsidRPr="008E729E">
        <w:rPr>
          <w:szCs w:val="24"/>
        </w:rPr>
        <w:t xml:space="preserve"> zawiera informację o planowanej (a w przyszłości, po zakończeniu danego okresu – rzeczywistej) wartości Rekompensaty, zarówno przekazywanej w formie pieniężnej (Rekompensata Pieniężna), jak i w pozostałych formach. </w:t>
      </w:r>
    </w:p>
    <w:p w14:paraId="2DE50896" w14:textId="77777777" w:rsidR="00522043" w:rsidRPr="008E729E" w:rsidRDefault="00522043" w:rsidP="00522043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238E5675" w14:textId="19D17FCE" w:rsidR="00476EA8" w:rsidRPr="008E729E" w:rsidRDefault="00794099" w:rsidP="00522043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t>Tabela 1</w:t>
      </w:r>
      <w:r w:rsidR="00522043" w:rsidRPr="008E729E">
        <w:rPr>
          <w:b/>
          <w:szCs w:val="24"/>
        </w:rPr>
        <w:t>1</w:t>
      </w:r>
      <w:r w:rsidR="00476EA8" w:rsidRPr="008E729E">
        <w:rPr>
          <w:b/>
          <w:szCs w:val="24"/>
        </w:rPr>
        <w:t xml:space="preserve">: Maksymalny poziom referencyjny wskaźnika udziału działalności zleconej przez podmioty inne niż </w:t>
      </w:r>
      <w:r w:rsidR="0075701E">
        <w:rPr>
          <w:b/>
          <w:szCs w:val="24"/>
        </w:rPr>
        <w:t>Miasto</w:t>
      </w:r>
    </w:p>
    <w:p w14:paraId="2697873E" w14:textId="06DF9CAA" w:rsidR="00476EA8" w:rsidRPr="008E729E" w:rsidRDefault="00522043" w:rsidP="00522043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70951A9B" wp14:editId="277FF51F">
            <wp:extent cx="6299860" cy="647205"/>
            <wp:effectExtent l="0" t="0" r="5715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62" cy="65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D899" w14:textId="093B2785" w:rsidR="00273E5F" w:rsidRPr="008E729E" w:rsidRDefault="00273E5F" w:rsidP="006C231A">
      <w:pPr>
        <w:overflowPunct/>
        <w:autoSpaceDE/>
        <w:autoSpaceDN/>
        <w:adjustRightInd/>
        <w:spacing w:before="240" w:line="240" w:lineRule="auto"/>
        <w:textAlignment w:val="auto"/>
        <w:rPr>
          <w:szCs w:val="24"/>
        </w:rPr>
      </w:pPr>
      <w:r w:rsidRPr="008E729E">
        <w:rPr>
          <w:szCs w:val="24"/>
        </w:rPr>
        <w:t>Tabe</w:t>
      </w:r>
      <w:r w:rsidR="006C231A" w:rsidRPr="008E729E">
        <w:rPr>
          <w:szCs w:val="24"/>
        </w:rPr>
        <w:t>la 1</w:t>
      </w:r>
      <w:r w:rsidR="00522043" w:rsidRPr="008E729E">
        <w:rPr>
          <w:szCs w:val="24"/>
        </w:rPr>
        <w:t>1</w:t>
      </w:r>
      <w:r w:rsidRPr="008E729E">
        <w:rPr>
          <w:szCs w:val="24"/>
        </w:rPr>
        <w:t xml:space="preserve"> przedstawia udział </w:t>
      </w:r>
      <w:r w:rsidR="00A81025" w:rsidRPr="008E729E">
        <w:rPr>
          <w:szCs w:val="24"/>
        </w:rPr>
        <w:t xml:space="preserve">działalności wykonywanej na rzecz innych podmiotów niż </w:t>
      </w:r>
      <w:r w:rsidR="002206EA">
        <w:rPr>
          <w:szCs w:val="24"/>
        </w:rPr>
        <w:t>Miasto</w:t>
      </w:r>
      <w:r w:rsidR="00A81025" w:rsidRPr="008E729E">
        <w:rPr>
          <w:szCs w:val="24"/>
        </w:rPr>
        <w:t xml:space="preserve"> w sumie działalności Spółki. W celu zachowania limitów określonych w Umowie i Dyrektywy Parlamentu Europejskiego i Rady 2014/24/UE z dnia 26 lutego 2014 r. w sprawie zamówień publicznych, wskazany udział nie powinien przekroczyć 20%.</w:t>
      </w:r>
    </w:p>
    <w:p w14:paraId="03681E49" w14:textId="48930DFC" w:rsidR="00E338C1" w:rsidRPr="008E729E" w:rsidRDefault="00E338C1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32330ED8" w14:textId="77777777" w:rsidR="00A10CEA" w:rsidRPr="008E729E" w:rsidRDefault="00A10CEA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6BCD54AD" w14:textId="77777777" w:rsidR="00A10CEA" w:rsidRPr="008E729E" w:rsidRDefault="00A10CEA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3F365361" w14:textId="77777777" w:rsidR="00A10CEA" w:rsidRPr="008E729E" w:rsidRDefault="00A10CEA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222984AF" w14:textId="77777777" w:rsidR="00A10CEA" w:rsidRPr="008E729E" w:rsidRDefault="00A10CEA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</w:p>
    <w:p w14:paraId="595B1341" w14:textId="18EF902A" w:rsidR="00476EA8" w:rsidRPr="008E729E" w:rsidRDefault="00794099" w:rsidP="00476EA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r w:rsidRPr="008E729E">
        <w:rPr>
          <w:b/>
          <w:szCs w:val="24"/>
        </w:rPr>
        <w:lastRenderedPageBreak/>
        <w:t xml:space="preserve">Tabela </w:t>
      </w:r>
      <w:r w:rsidR="00732C4A" w:rsidRPr="008E729E">
        <w:rPr>
          <w:b/>
          <w:szCs w:val="24"/>
        </w:rPr>
        <w:t>12</w:t>
      </w:r>
      <w:r w:rsidR="00476EA8" w:rsidRPr="008E729E">
        <w:rPr>
          <w:b/>
          <w:szCs w:val="24"/>
        </w:rPr>
        <w:t>: Prognoza wskaźników efektywności</w:t>
      </w:r>
    </w:p>
    <w:p w14:paraId="15FE8F64" w14:textId="67F19ECE" w:rsidR="00476EA8" w:rsidRPr="008E729E" w:rsidRDefault="00A10CEA" w:rsidP="009719C1">
      <w:pPr>
        <w:overflowPunct/>
        <w:autoSpaceDE/>
        <w:autoSpaceDN/>
        <w:adjustRightInd/>
        <w:spacing w:before="240" w:line="240" w:lineRule="auto"/>
        <w:jc w:val="left"/>
        <w:textAlignment w:val="auto"/>
        <w:rPr>
          <w:b/>
          <w:szCs w:val="24"/>
        </w:rPr>
      </w:pPr>
      <w:r w:rsidRPr="008E729E">
        <w:rPr>
          <w:noProof/>
          <w:lang w:eastAsia="pl-PL"/>
        </w:rPr>
        <w:drawing>
          <wp:inline distT="0" distB="0" distL="0" distR="0" wp14:anchorId="08BC591B" wp14:editId="0CFD9DC5">
            <wp:extent cx="6298304" cy="4333875"/>
            <wp:effectExtent l="0" t="0" r="762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05" cy="43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A716" w14:textId="7ACAA1A3" w:rsidR="00D564C0" w:rsidRPr="008E729E" w:rsidRDefault="00794099" w:rsidP="006C231A">
      <w:pPr>
        <w:overflowPunct/>
        <w:autoSpaceDE/>
        <w:autoSpaceDN/>
        <w:adjustRightInd/>
        <w:spacing w:before="240" w:line="240" w:lineRule="auto"/>
        <w:textAlignment w:val="auto"/>
        <w:rPr>
          <w:szCs w:val="24"/>
        </w:rPr>
      </w:pPr>
      <w:r w:rsidRPr="008E729E">
        <w:rPr>
          <w:szCs w:val="24"/>
        </w:rPr>
        <w:t xml:space="preserve">Tabela </w:t>
      </w:r>
      <w:r w:rsidR="00732C4A" w:rsidRPr="008E729E">
        <w:rPr>
          <w:szCs w:val="24"/>
        </w:rPr>
        <w:t>12</w:t>
      </w:r>
      <w:r w:rsidR="00273E5F" w:rsidRPr="008E729E">
        <w:rPr>
          <w:szCs w:val="24"/>
        </w:rPr>
        <w:t xml:space="preserve"> zawiera </w:t>
      </w:r>
      <w:r w:rsidR="00A10CEA" w:rsidRPr="008E729E">
        <w:t xml:space="preserve">wskaźniki efektywności takie jak: </w:t>
      </w:r>
      <w:r w:rsidR="00A10CEA" w:rsidRPr="008E729E">
        <w:rPr>
          <w:b/>
          <w:color w:val="007FC0"/>
        </w:rPr>
        <w:t xml:space="preserve">(1) </w:t>
      </w:r>
      <w:r w:rsidR="00A10CEA" w:rsidRPr="008E729E">
        <w:t>wskaźnik</w:t>
      </w:r>
      <w:r w:rsidR="00A10CEA" w:rsidRPr="008E729E">
        <w:rPr>
          <w:b/>
        </w:rPr>
        <w:t xml:space="preserve"> </w:t>
      </w:r>
      <w:r w:rsidR="00A10CEA" w:rsidRPr="008E729E">
        <w:t>punktualności</w:t>
      </w:r>
      <w:r w:rsidR="00A10CEA" w:rsidRPr="008E729E">
        <w:rPr>
          <w:b/>
        </w:rPr>
        <w:t xml:space="preserve"> </w:t>
      </w:r>
      <w:r w:rsidR="00A10CEA" w:rsidRPr="008E729E">
        <w:t>będący stosunkiem</w:t>
      </w:r>
      <w:r w:rsidR="00A10CEA" w:rsidRPr="008E729E">
        <w:rPr>
          <w:b/>
        </w:rPr>
        <w:t xml:space="preserve"> </w:t>
      </w:r>
      <w:r w:rsidR="00A10CEA" w:rsidRPr="008E729E">
        <w:t xml:space="preserve">odjazdów bez opóźnień do wszystkich odjazdów wraz z wartością referencyjną </w:t>
      </w:r>
      <w:r w:rsidR="00A10CEA" w:rsidRPr="008E729E">
        <w:rPr>
          <w:b/>
          <w:color w:val="007FC0"/>
        </w:rPr>
        <w:t xml:space="preserve">(2) </w:t>
      </w:r>
      <w:r w:rsidR="00A10CEA" w:rsidRPr="008E729E">
        <w:t xml:space="preserve">wskaźnik wykonania pracy eksploatacyjnej wskazujący wartość pracy eksploatacyjnej niewykonanej z powodów zależnych od operatora wraz z wskazaniem wartości referencyjnej </w:t>
      </w:r>
      <w:r w:rsidR="00A10CEA" w:rsidRPr="008E729E">
        <w:rPr>
          <w:b/>
          <w:color w:val="007FC0"/>
        </w:rPr>
        <w:t>(3) </w:t>
      </w:r>
      <w:r w:rsidR="00A10CEA" w:rsidRPr="008E729E">
        <w:t xml:space="preserve">wskaźnik zasadnych (uwzględnionych) skarg i reklamacji pasażerów wraz z wskazaniem wartości referencyjnej </w:t>
      </w:r>
      <w:r w:rsidR="00A10CEA" w:rsidRPr="008E729E">
        <w:rPr>
          <w:b/>
          <w:color w:val="007FC0"/>
        </w:rPr>
        <w:t>(4) </w:t>
      </w:r>
      <w:r w:rsidR="00A10CEA" w:rsidRPr="008E729E">
        <w:t>wskaźnik efektywności, obrazujący wzrost/spadek rocznych kosztów wykonania Usług. Jako wartość referencyjną (maksymalną) przyjęty został planowany poziom inflacji lub wskaźnik wzrostu płac .</w:t>
      </w:r>
      <w:r w:rsidR="0075701E">
        <w:t xml:space="preserve"> </w:t>
      </w:r>
      <w:r w:rsidR="00A10CEA" w:rsidRPr="008E729E">
        <w:t>Ustalono, że dopuszczalny wzrost kosztów wykonania Usług zasadniczo nie powinien przekraczać przyjętego w analizie poziomu inflacji lub założonego wzrostu płac</w:t>
      </w:r>
      <w:r w:rsidR="00A10CEA" w:rsidRPr="008E729E">
        <w:rPr>
          <w:rStyle w:val="Odwoanieprzypisudolnego"/>
        </w:rPr>
        <w:footnoteReference w:id="1"/>
      </w:r>
      <w:r w:rsidR="00A10CEA" w:rsidRPr="008E729E">
        <w:t xml:space="preserve"> </w:t>
      </w:r>
      <w:r w:rsidR="00A10CEA" w:rsidRPr="008E729E">
        <w:rPr>
          <w:b/>
          <w:color w:val="007FC0"/>
        </w:rPr>
        <w:t>(5) </w:t>
      </w:r>
      <w:r w:rsidR="00A10CEA" w:rsidRPr="008E729E">
        <w:t xml:space="preserve">wskaźnik dynamiki odnoszący się do udziału zysku z  Działalności dodatkowej w pokryciu kosztów Usług. Wskaźnik ten </w:t>
      </w:r>
      <w:r w:rsidR="0075701E">
        <w:t xml:space="preserve">ma </w:t>
      </w:r>
      <w:r w:rsidR="00A10CEA" w:rsidRPr="008E729E">
        <w:t>określony minimalny poziom referencyjny. Należy również zauważyć, że wskaźnik dynamiki jest określany dopiero od drugiego roku Okresu Powierzenia (rok 2023).</w:t>
      </w:r>
    </w:p>
    <w:sectPr w:rsidR="00D564C0" w:rsidRPr="008E729E" w:rsidSect="00D627B9">
      <w:footerReference w:type="default" r:id="rId14"/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A111" w14:textId="77777777" w:rsidR="00B91B39" w:rsidRDefault="00B91B39" w:rsidP="00FC0C95">
      <w:pPr>
        <w:spacing w:line="240" w:lineRule="auto"/>
      </w:pPr>
      <w:r>
        <w:separator/>
      </w:r>
    </w:p>
  </w:endnote>
  <w:endnote w:type="continuationSeparator" w:id="0">
    <w:p w14:paraId="4482BB04" w14:textId="77777777" w:rsidR="00B91B39" w:rsidRDefault="00B91B39" w:rsidP="00FC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198259"/>
      <w:docPartObj>
        <w:docPartGallery w:val="Page Numbers (Bottom of Page)"/>
        <w:docPartUnique/>
      </w:docPartObj>
    </w:sdtPr>
    <w:sdtEndPr/>
    <w:sdtContent>
      <w:p w14:paraId="3560C688" w14:textId="77777777" w:rsidR="00FC0C95" w:rsidRDefault="00FC0C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6EA">
          <w:rPr>
            <w:noProof/>
          </w:rPr>
          <w:t>1</w:t>
        </w:r>
        <w:r>
          <w:fldChar w:fldCharType="end"/>
        </w:r>
      </w:p>
    </w:sdtContent>
  </w:sdt>
  <w:p w14:paraId="5CAD0FC5" w14:textId="77777777" w:rsidR="00FC0C95" w:rsidRDefault="00FC0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46B5" w14:textId="77777777" w:rsidR="00B91B39" w:rsidRDefault="00B91B39" w:rsidP="00FC0C95">
      <w:pPr>
        <w:spacing w:line="240" w:lineRule="auto"/>
      </w:pPr>
      <w:r>
        <w:separator/>
      </w:r>
    </w:p>
  </w:footnote>
  <w:footnote w:type="continuationSeparator" w:id="0">
    <w:p w14:paraId="4DC6D73C" w14:textId="77777777" w:rsidR="00B91B39" w:rsidRDefault="00B91B39" w:rsidP="00FC0C95">
      <w:pPr>
        <w:spacing w:line="240" w:lineRule="auto"/>
      </w:pPr>
      <w:r>
        <w:continuationSeparator/>
      </w:r>
    </w:p>
  </w:footnote>
  <w:footnote w:id="1">
    <w:p w14:paraId="4D8D3765" w14:textId="77777777" w:rsidR="00A10CEA" w:rsidRDefault="00A10CEA" w:rsidP="00A10CEA">
      <w:pPr>
        <w:pStyle w:val="Tekstprzypisudolnego"/>
      </w:pPr>
      <w:r>
        <w:rPr>
          <w:rStyle w:val="Odwoanieprzypisudolnego"/>
        </w:rPr>
        <w:footnoteRef/>
      </w:r>
      <w:r>
        <w:t xml:space="preserve"> Jednocześnie jednak ze względu na rokroczny wzrost zakresu świadczenia Usług w początkowych latach Okresu Powierzenia, wskaźnik ten należy traktować </w:t>
      </w:r>
      <w:proofErr w:type="spellStart"/>
      <w:r>
        <w:t>ostrożnościowo</w:t>
      </w:r>
      <w:proofErr w:type="spellEnd"/>
      <w:r>
        <w:t xml:space="preserve">. Rekomenduje się jego stosowanie wraz z konsekwencjami dopiero od momentu ustabilizowania działalności Spółki w zakresie świadczenia Usług. Ponadto należy </w:t>
      </w:r>
      <w:r w:rsidRPr="001D7460">
        <w:t>zauważyć, że na wzrost określonych wartości Spółka nie ma wpływu np. koszty czynszu dzierżawnego pojazdów od Miasta</w:t>
      </w:r>
      <w:r>
        <w:t xml:space="preserve"> stanowiące znaczną część kosztów usług obcych</w:t>
      </w:r>
      <w:r w:rsidRPr="001D746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1BD"/>
    <w:multiLevelType w:val="multilevel"/>
    <w:tmpl w:val="108E5516"/>
    <w:lvl w:ilvl="0">
      <w:start w:val="1"/>
      <w:numFmt w:val="decimal"/>
      <w:pStyle w:val="Tytu1"/>
      <w:lvlText w:val="%1."/>
      <w:lvlJc w:val="left"/>
      <w:pPr>
        <w:ind w:left="248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stanowienie1"/>
      <w:lvlText w:val="%1.%2."/>
      <w:lvlJc w:val="left"/>
      <w:pPr>
        <w:ind w:left="2916" w:hanging="432"/>
      </w:pPr>
      <w:rPr>
        <w:rFonts w:hint="default"/>
        <w:sz w:val="24"/>
        <w:szCs w:val="24"/>
      </w:rPr>
    </w:lvl>
    <w:lvl w:ilvl="2">
      <w:start w:val="1"/>
      <w:numFmt w:val="decimal"/>
      <w:pStyle w:val="Styl3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" w15:restartNumberingAfterBreak="0">
    <w:nsid w:val="1BFA6B26"/>
    <w:multiLevelType w:val="hybridMultilevel"/>
    <w:tmpl w:val="62EA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BC8"/>
    <w:multiLevelType w:val="hybridMultilevel"/>
    <w:tmpl w:val="3822D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5850"/>
    <w:multiLevelType w:val="hybridMultilevel"/>
    <w:tmpl w:val="3822D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75686"/>
    <w:multiLevelType w:val="hybridMultilevel"/>
    <w:tmpl w:val="D380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4405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2FA"/>
    <w:multiLevelType w:val="hybridMultilevel"/>
    <w:tmpl w:val="51BAA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A0D64"/>
    <w:multiLevelType w:val="hybridMultilevel"/>
    <w:tmpl w:val="8FFA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06">
    <w:abstractNumId w:val="1"/>
  </w:num>
  <w:num w:numId="2" w16cid:durableId="1059091587">
    <w:abstractNumId w:val="0"/>
  </w:num>
  <w:num w:numId="3" w16cid:durableId="1390150350">
    <w:abstractNumId w:val="6"/>
  </w:num>
  <w:num w:numId="4" w16cid:durableId="2040888337">
    <w:abstractNumId w:val="2"/>
  </w:num>
  <w:num w:numId="5" w16cid:durableId="378749361">
    <w:abstractNumId w:val="3"/>
  </w:num>
  <w:num w:numId="6" w16cid:durableId="1866866606">
    <w:abstractNumId w:val="4"/>
  </w:num>
  <w:num w:numId="7" w16cid:durableId="480582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46"/>
    <w:rsid w:val="0000263A"/>
    <w:rsid w:val="00025E46"/>
    <w:rsid w:val="00025F67"/>
    <w:rsid w:val="000444F1"/>
    <w:rsid w:val="00045120"/>
    <w:rsid w:val="00055AAB"/>
    <w:rsid w:val="00056482"/>
    <w:rsid w:val="0005679B"/>
    <w:rsid w:val="00057821"/>
    <w:rsid w:val="00057D43"/>
    <w:rsid w:val="000618AA"/>
    <w:rsid w:val="00062136"/>
    <w:rsid w:val="00062FCB"/>
    <w:rsid w:val="0006481A"/>
    <w:rsid w:val="00065F4A"/>
    <w:rsid w:val="000776FE"/>
    <w:rsid w:val="00077AB6"/>
    <w:rsid w:val="00081733"/>
    <w:rsid w:val="00083792"/>
    <w:rsid w:val="00084D1D"/>
    <w:rsid w:val="00085FA3"/>
    <w:rsid w:val="000929C4"/>
    <w:rsid w:val="000A3BFD"/>
    <w:rsid w:val="000A4741"/>
    <w:rsid w:val="000A4A57"/>
    <w:rsid w:val="000A66C4"/>
    <w:rsid w:val="000A6A0E"/>
    <w:rsid w:val="000A7474"/>
    <w:rsid w:val="000B537B"/>
    <w:rsid w:val="000B6657"/>
    <w:rsid w:val="000C4B00"/>
    <w:rsid w:val="000C5A8D"/>
    <w:rsid w:val="000C6831"/>
    <w:rsid w:val="000D0A3B"/>
    <w:rsid w:val="000D79D3"/>
    <w:rsid w:val="000D7D33"/>
    <w:rsid w:val="000F04C3"/>
    <w:rsid w:val="000F5982"/>
    <w:rsid w:val="00106C3E"/>
    <w:rsid w:val="00110250"/>
    <w:rsid w:val="0011249C"/>
    <w:rsid w:val="00112F41"/>
    <w:rsid w:val="00114D69"/>
    <w:rsid w:val="0012017D"/>
    <w:rsid w:val="00121654"/>
    <w:rsid w:val="00125538"/>
    <w:rsid w:val="00125E90"/>
    <w:rsid w:val="00126432"/>
    <w:rsid w:val="001300E0"/>
    <w:rsid w:val="0014536D"/>
    <w:rsid w:val="00147E84"/>
    <w:rsid w:val="0015053A"/>
    <w:rsid w:val="00152ECB"/>
    <w:rsid w:val="001534E4"/>
    <w:rsid w:val="001575D6"/>
    <w:rsid w:val="00167B94"/>
    <w:rsid w:val="00173B68"/>
    <w:rsid w:val="00180986"/>
    <w:rsid w:val="0018109D"/>
    <w:rsid w:val="00182B95"/>
    <w:rsid w:val="001934A6"/>
    <w:rsid w:val="00196BF9"/>
    <w:rsid w:val="001A13C0"/>
    <w:rsid w:val="001A5A96"/>
    <w:rsid w:val="001B10F4"/>
    <w:rsid w:val="001C1779"/>
    <w:rsid w:val="001D1A2C"/>
    <w:rsid w:val="001E0788"/>
    <w:rsid w:val="001E36F4"/>
    <w:rsid w:val="001F1430"/>
    <w:rsid w:val="001F14DE"/>
    <w:rsid w:val="001F4BC5"/>
    <w:rsid w:val="001F6AB8"/>
    <w:rsid w:val="00201C70"/>
    <w:rsid w:val="00203073"/>
    <w:rsid w:val="00214218"/>
    <w:rsid w:val="00217477"/>
    <w:rsid w:val="002206EA"/>
    <w:rsid w:val="00221FBB"/>
    <w:rsid w:val="002373A1"/>
    <w:rsid w:val="00237C1F"/>
    <w:rsid w:val="00241681"/>
    <w:rsid w:val="00242E76"/>
    <w:rsid w:val="0024437F"/>
    <w:rsid w:val="002512E8"/>
    <w:rsid w:val="00264DDC"/>
    <w:rsid w:val="00273E5F"/>
    <w:rsid w:val="00285F48"/>
    <w:rsid w:val="002A33DB"/>
    <w:rsid w:val="002A456A"/>
    <w:rsid w:val="002B0B69"/>
    <w:rsid w:val="002B2E09"/>
    <w:rsid w:val="002B5A3A"/>
    <w:rsid w:val="002B6188"/>
    <w:rsid w:val="002B78ED"/>
    <w:rsid w:val="002C6E0C"/>
    <w:rsid w:val="002D3481"/>
    <w:rsid w:val="002D64AC"/>
    <w:rsid w:val="002E27C6"/>
    <w:rsid w:val="002E4697"/>
    <w:rsid w:val="002E5C15"/>
    <w:rsid w:val="002E7364"/>
    <w:rsid w:val="002E74D0"/>
    <w:rsid w:val="002F65B0"/>
    <w:rsid w:val="0030139D"/>
    <w:rsid w:val="003068B5"/>
    <w:rsid w:val="00307C07"/>
    <w:rsid w:val="0031094F"/>
    <w:rsid w:val="003115DB"/>
    <w:rsid w:val="00314C23"/>
    <w:rsid w:val="00315C28"/>
    <w:rsid w:val="00317FD6"/>
    <w:rsid w:val="0032505D"/>
    <w:rsid w:val="003300FA"/>
    <w:rsid w:val="00343046"/>
    <w:rsid w:val="00344EAF"/>
    <w:rsid w:val="00351BBF"/>
    <w:rsid w:val="003520DA"/>
    <w:rsid w:val="00353014"/>
    <w:rsid w:val="003576EC"/>
    <w:rsid w:val="0036310D"/>
    <w:rsid w:val="00365CD1"/>
    <w:rsid w:val="003668B9"/>
    <w:rsid w:val="00366BC6"/>
    <w:rsid w:val="00371287"/>
    <w:rsid w:val="003761C0"/>
    <w:rsid w:val="00385929"/>
    <w:rsid w:val="003917AB"/>
    <w:rsid w:val="003922AF"/>
    <w:rsid w:val="003A006B"/>
    <w:rsid w:val="003A38EF"/>
    <w:rsid w:val="003B1B20"/>
    <w:rsid w:val="003B36E7"/>
    <w:rsid w:val="003B7DFF"/>
    <w:rsid w:val="003C6846"/>
    <w:rsid w:val="003D3E91"/>
    <w:rsid w:val="003D5ED3"/>
    <w:rsid w:val="003D76E9"/>
    <w:rsid w:val="003E447F"/>
    <w:rsid w:val="004044BE"/>
    <w:rsid w:val="00404F4C"/>
    <w:rsid w:val="00406113"/>
    <w:rsid w:val="0040769A"/>
    <w:rsid w:val="004107BF"/>
    <w:rsid w:val="00430453"/>
    <w:rsid w:val="0044241E"/>
    <w:rsid w:val="00443BA3"/>
    <w:rsid w:val="00463A1F"/>
    <w:rsid w:val="004677EA"/>
    <w:rsid w:val="004678C1"/>
    <w:rsid w:val="00467EA3"/>
    <w:rsid w:val="0047252D"/>
    <w:rsid w:val="00476EA8"/>
    <w:rsid w:val="00477433"/>
    <w:rsid w:val="00480DAA"/>
    <w:rsid w:val="00486D23"/>
    <w:rsid w:val="004918EF"/>
    <w:rsid w:val="004931D9"/>
    <w:rsid w:val="00494D5B"/>
    <w:rsid w:val="00496158"/>
    <w:rsid w:val="004B185B"/>
    <w:rsid w:val="004B7C59"/>
    <w:rsid w:val="004C0E5F"/>
    <w:rsid w:val="004C2C47"/>
    <w:rsid w:val="004D1C38"/>
    <w:rsid w:val="004D4650"/>
    <w:rsid w:val="004D64E2"/>
    <w:rsid w:val="004E1339"/>
    <w:rsid w:val="004E5BD5"/>
    <w:rsid w:val="004E640C"/>
    <w:rsid w:val="004E6733"/>
    <w:rsid w:val="004F1F31"/>
    <w:rsid w:val="004F5383"/>
    <w:rsid w:val="004F5F5C"/>
    <w:rsid w:val="004F7D25"/>
    <w:rsid w:val="005107E3"/>
    <w:rsid w:val="005164FC"/>
    <w:rsid w:val="00520254"/>
    <w:rsid w:val="00522043"/>
    <w:rsid w:val="00524195"/>
    <w:rsid w:val="005252EE"/>
    <w:rsid w:val="00540E4D"/>
    <w:rsid w:val="005455D2"/>
    <w:rsid w:val="00545C3D"/>
    <w:rsid w:val="0054620B"/>
    <w:rsid w:val="00554CEC"/>
    <w:rsid w:val="00556FA1"/>
    <w:rsid w:val="00565EBF"/>
    <w:rsid w:val="00580E70"/>
    <w:rsid w:val="00581BA3"/>
    <w:rsid w:val="00591462"/>
    <w:rsid w:val="005B3552"/>
    <w:rsid w:val="005B49E7"/>
    <w:rsid w:val="005B6038"/>
    <w:rsid w:val="005C0957"/>
    <w:rsid w:val="005D4FA3"/>
    <w:rsid w:val="005D62F2"/>
    <w:rsid w:val="005E39BC"/>
    <w:rsid w:val="005F36E1"/>
    <w:rsid w:val="005F49C1"/>
    <w:rsid w:val="005F585D"/>
    <w:rsid w:val="005F58C9"/>
    <w:rsid w:val="00601DEE"/>
    <w:rsid w:val="006117F6"/>
    <w:rsid w:val="00614A37"/>
    <w:rsid w:val="00620E92"/>
    <w:rsid w:val="00632939"/>
    <w:rsid w:val="00633082"/>
    <w:rsid w:val="006330FD"/>
    <w:rsid w:val="006337C1"/>
    <w:rsid w:val="0063691E"/>
    <w:rsid w:val="00647EEF"/>
    <w:rsid w:val="00650C9F"/>
    <w:rsid w:val="00664FF8"/>
    <w:rsid w:val="00671F03"/>
    <w:rsid w:val="00676FAF"/>
    <w:rsid w:val="00680449"/>
    <w:rsid w:val="006926B3"/>
    <w:rsid w:val="00693658"/>
    <w:rsid w:val="006A1824"/>
    <w:rsid w:val="006B6536"/>
    <w:rsid w:val="006C231A"/>
    <w:rsid w:val="006D75B1"/>
    <w:rsid w:val="006E1571"/>
    <w:rsid w:val="006E2F8F"/>
    <w:rsid w:val="006F3D7B"/>
    <w:rsid w:val="006F504E"/>
    <w:rsid w:val="00700B09"/>
    <w:rsid w:val="0070195E"/>
    <w:rsid w:val="00701A7B"/>
    <w:rsid w:val="00701D9C"/>
    <w:rsid w:val="00703097"/>
    <w:rsid w:val="00704049"/>
    <w:rsid w:val="00715D71"/>
    <w:rsid w:val="0071788D"/>
    <w:rsid w:val="00721678"/>
    <w:rsid w:val="0072347F"/>
    <w:rsid w:val="00723AC7"/>
    <w:rsid w:val="00724024"/>
    <w:rsid w:val="0072799A"/>
    <w:rsid w:val="00731BDF"/>
    <w:rsid w:val="00732C4A"/>
    <w:rsid w:val="00732D71"/>
    <w:rsid w:val="00745D43"/>
    <w:rsid w:val="0075701E"/>
    <w:rsid w:val="00761CD8"/>
    <w:rsid w:val="00763499"/>
    <w:rsid w:val="00767FDB"/>
    <w:rsid w:val="00772A97"/>
    <w:rsid w:val="00773499"/>
    <w:rsid w:val="00773901"/>
    <w:rsid w:val="00775027"/>
    <w:rsid w:val="0078093A"/>
    <w:rsid w:val="0078188C"/>
    <w:rsid w:val="007848D9"/>
    <w:rsid w:val="00786E34"/>
    <w:rsid w:val="007915A2"/>
    <w:rsid w:val="00794099"/>
    <w:rsid w:val="007B48CC"/>
    <w:rsid w:val="007B79F9"/>
    <w:rsid w:val="007B7D9F"/>
    <w:rsid w:val="007C0368"/>
    <w:rsid w:val="007C0D93"/>
    <w:rsid w:val="007C116E"/>
    <w:rsid w:val="007C4583"/>
    <w:rsid w:val="007C4640"/>
    <w:rsid w:val="007C6196"/>
    <w:rsid w:val="007C72F4"/>
    <w:rsid w:val="007D1DE7"/>
    <w:rsid w:val="007D47BE"/>
    <w:rsid w:val="007F5437"/>
    <w:rsid w:val="007F7975"/>
    <w:rsid w:val="00800BDC"/>
    <w:rsid w:val="00802F56"/>
    <w:rsid w:val="00803E9D"/>
    <w:rsid w:val="008076C3"/>
    <w:rsid w:val="008108B4"/>
    <w:rsid w:val="008200C9"/>
    <w:rsid w:val="0082025A"/>
    <w:rsid w:val="008205F5"/>
    <w:rsid w:val="008231D1"/>
    <w:rsid w:val="00833B2B"/>
    <w:rsid w:val="00833DEE"/>
    <w:rsid w:val="00842D08"/>
    <w:rsid w:val="00843B62"/>
    <w:rsid w:val="008524B4"/>
    <w:rsid w:val="00856013"/>
    <w:rsid w:val="008641DC"/>
    <w:rsid w:val="00864F56"/>
    <w:rsid w:val="00873011"/>
    <w:rsid w:val="00876996"/>
    <w:rsid w:val="00884E83"/>
    <w:rsid w:val="008942A7"/>
    <w:rsid w:val="0089637C"/>
    <w:rsid w:val="008A15E9"/>
    <w:rsid w:val="008A22EC"/>
    <w:rsid w:val="008A4812"/>
    <w:rsid w:val="008C3835"/>
    <w:rsid w:val="008D2A64"/>
    <w:rsid w:val="008D4ABE"/>
    <w:rsid w:val="008E729E"/>
    <w:rsid w:val="008F4967"/>
    <w:rsid w:val="00911101"/>
    <w:rsid w:val="00911DA7"/>
    <w:rsid w:val="00914CD6"/>
    <w:rsid w:val="009247E1"/>
    <w:rsid w:val="00930700"/>
    <w:rsid w:val="00932507"/>
    <w:rsid w:val="00933DCF"/>
    <w:rsid w:val="009400AF"/>
    <w:rsid w:val="009426DB"/>
    <w:rsid w:val="0094633E"/>
    <w:rsid w:val="009512C8"/>
    <w:rsid w:val="0095479B"/>
    <w:rsid w:val="00955CDF"/>
    <w:rsid w:val="009608C4"/>
    <w:rsid w:val="00962BB0"/>
    <w:rsid w:val="00970CD5"/>
    <w:rsid w:val="0097147A"/>
    <w:rsid w:val="009719C1"/>
    <w:rsid w:val="0098035E"/>
    <w:rsid w:val="0098127B"/>
    <w:rsid w:val="00983117"/>
    <w:rsid w:val="00983982"/>
    <w:rsid w:val="009915A2"/>
    <w:rsid w:val="009A2CDE"/>
    <w:rsid w:val="009B3306"/>
    <w:rsid w:val="009C50CC"/>
    <w:rsid w:val="009D59C6"/>
    <w:rsid w:val="009D5F24"/>
    <w:rsid w:val="009E0B05"/>
    <w:rsid w:val="009E4D32"/>
    <w:rsid w:val="009E5CF2"/>
    <w:rsid w:val="009E745A"/>
    <w:rsid w:val="00A02AD7"/>
    <w:rsid w:val="00A10CEA"/>
    <w:rsid w:val="00A21A88"/>
    <w:rsid w:val="00A22624"/>
    <w:rsid w:val="00A23D00"/>
    <w:rsid w:val="00A24332"/>
    <w:rsid w:val="00A27966"/>
    <w:rsid w:val="00A4668C"/>
    <w:rsid w:val="00A5287D"/>
    <w:rsid w:val="00A52FBC"/>
    <w:rsid w:val="00A62EC9"/>
    <w:rsid w:val="00A6309D"/>
    <w:rsid w:val="00A72CBD"/>
    <w:rsid w:val="00A73A79"/>
    <w:rsid w:val="00A74526"/>
    <w:rsid w:val="00A81025"/>
    <w:rsid w:val="00A91EB9"/>
    <w:rsid w:val="00A95C74"/>
    <w:rsid w:val="00A95FEB"/>
    <w:rsid w:val="00AA02CD"/>
    <w:rsid w:val="00AA10D1"/>
    <w:rsid w:val="00AA15BF"/>
    <w:rsid w:val="00AA6211"/>
    <w:rsid w:val="00AB4293"/>
    <w:rsid w:val="00AB4A15"/>
    <w:rsid w:val="00AC162A"/>
    <w:rsid w:val="00AC7D2A"/>
    <w:rsid w:val="00AD7938"/>
    <w:rsid w:val="00AE2323"/>
    <w:rsid w:val="00AE2FA6"/>
    <w:rsid w:val="00AE37E1"/>
    <w:rsid w:val="00AE3B56"/>
    <w:rsid w:val="00AE465D"/>
    <w:rsid w:val="00AF0B35"/>
    <w:rsid w:val="00AF2837"/>
    <w:rsid w:val="00B001A2"/>
    <w:rsid w:val="00B115C4"/>
    <w:rsid w:val="00B1190D"/>
    <w:rsid w:val="00B13324"/>
    <w:rsid w:val="00B1608F"/>
    <w:rsid w:val="00B25770"/>
    <w:rsid w:val="00B26199"/>
    <w:rsid w:val="00B2716D"/>
    <w:rsid w:val="00B401E2"/>
    <w:rsid w:val="00B42837"/>
    <w:rsid w:val="00B51825"/>
    <w:rsid w:val="00B52714"/>
    <w:rsid w:val="00B54FAE"/>
    <w:rsid w:val="00B6483B"/>
    <w:rsid w:val="00B71684"/>
    <w:rsid w:val="00B74B0D"/>
    <w:rsid w:val="00B84108"/>
    <w:rsid w:val="00B90657"/>
    <w:rsid w:val="00B91B39"/>
    <w:rsid w:val="00B96053"/>
    <w:rsid w:val="00B9758C"/>
    <w:rsid w:val="00B976C2"/>
    <w:rsid w:val="00B97CFD"/>
    <w:rsid w:val="00BA3A92"/>
    <w:rsid w:val="00BA7582"/>
    <w:rsid w:val="00BB6E88"/>
    <w:rsid w:val="00BC2B47"/>
    <w:rsid w:val="00BC3DC0"/>
    <w:rsid w:val="00BD5617"/>
    <w:rsid w:val="00BD6CF3"/>
    <w:rsid w:val="00BF1005"/>
    <w:rsid w:val="00BF67E5"/>
    <w:rsid w:val="00C0331E"/>
    <w:rsid w:val="00C25360"/>
    <w:rsid w:val="00C255C5"/>
    <w:rsid w:val="00C260F0"/>
    <w:rsid w:val="00C329D3"/>
    <w:rsid w:val="00C46461"/>
    <w:rsid w:val="00C566A4"/>
    <w:rsid w:val="00C631A4"/>
    <w:rsid w:val="00C742BA"/>
    <w:rsid w:val="00C74B8C"/>
    <w:rsid w:val="00C75B97"/>
    <w:rsid w:val="00C76620"/>
    <w:rsid w:val="00C91A9F"/>
    <w:rsid w:val="00C93A57"/>
    <w:rsid w:val="00C96798"/>
    <w:rsid w:val="00CA2E9C"/>
    <w:rsid w:val="00CA3502"/>
    <w:rsid w:val="00CA7531"/>
    <w:rsid w:val="00CA79B7"/>
    <w:rsid w:val="00CB1F59"/>
    <w:rsid w:val="00CD066D"/>
    <w:rsid w:val="00CD24F4"/>
    <w:rsid w:val="00CD41B9"/>
    <w:rsid w:val="00CD5EC0"/>
    <w:rsid w:val="00CD6095"/>
    <w:rsid w:val="00CE50B5"/>
    <w:rsid w:val="00CF1541"/>
    <w:rsid w:val="00CF30DD"/>
    <w:rsid w:val="00D0317C"/>
    <w:rsid w:val="00D06EF1"/>
    <w:rsid w:val="00D078C6"/>
    <w:rsid w:val="00D07E19"/>
    <w:rsid w:val="00D15B62"/>
    <w:rsid w:val="00D21BE7"/>
    <w:rsid w:val="00D32A7E"/>
    <w:rsid w:val="00D36E1D"/>
    <w:rsid w:val="00D44FF7"/>
    <w:rsid w:val="00D52048"/>
    <w:rsid w:val="00D534EE"/>
    <w:rsid w:val="00D564C0"/>
    <w:rsid w:val="00D62636"/>
    <w:rsid w:val="00D627B9"/>
    <w:rsid w:val="00D70934"/>
    <w:rsid w:val="00D73F40"/>
    <w:rsid w:val="00D75E05"/>
    <w:rsid w:val="00D8091C"/>
    <w:rsid w:val="00D91A37"/>
    <w:rsid w:val="00D92B38"/>
    <w:rsid w:val="00DA5D47"/>
    <w:rsid w:val="00DB3D8F"/>
    <w:rsid w:val="00DC4E24"/>
    <w:rsid w:val="00DC5848"/>
    <w:rsid w:val="00DD3F7F"/>
    <w:rsid w:val="00DD5C62"/>
    <w:rsid w:val="00DD7AA2"/>
    <w:rsid w:val="00DE12AC"/>
    <w:rsid w:val="00DF0236"/>
    <w:rsid w:val="00DF1E70"/>
    <w:rsid w:val="00E05D41"/>
    <w:rsid w:val="00E101DE"/>
    <w:rsid w:val="00E2020E"/>
    <w:rsid w:val="00E21266"/>
    <w:rsid w:val="00E223C3"/>
    <w:rsid w:val="00E338C1"/>
    <w:rsid w:val="00E3483E"/>
    <w:rsid w:val="00E419D6"/>
    <w:rsid w:val="00E46597"/>
    <w:rsid w:val="00E57499"/>
    <w:rsid w:val="00E60BA5"/>
    <w:rsid w:val="00E62C78"/>
    <w:rsid w:val="00E63A0A"/>
    <w:rsid w:val="00E66C3C"/>
    <w:rsid w:val="00E66EEB"/>
    <w:rsid w:val="00E677CA"/>
    <w:rsid w:val="00E72BAB"/>
    <w:rsid w:val="00E76BC6"/>
    <w:rsid w:val="00E81658"/>
    <w:rsid w:val="00E83201"/>
    <w:rsid w:val="00E90FFA"/>
    <w:rsid w:val="00E97771"/>
    <w:rsid w:val="00EA660F"/>
    <w:rsid w:val="00EB5292"/>
    <w:rsid w:val="00EB6B32"/>
    <w:rsid w:val="00EC1926"/>
    <w:rsid w:val="00ED1488"/>
    <w:rsid w:val="00ED5441"/>
    <w:rsid w:val="00EE1834"/>
    <w:rsid w:val="00EE2BB8"/>
    <w:rsid w:val="00EE3491"/>
    <w:rsid w:val="00EF728E"/>
    <w:rsid w:val="00EF77D5"/>
    <w:rsid w:val="00F0668F"/>
    <w:rsid w:val="00F06C8D"/>
    <w:rsid w:val="00F1272E"/>
    <w:rsid w:val="00F131FC"/>
    <w:rsid w:val="00F1674C"/>
    <w:rsid w:val="00F16941"/>
    <w:rsid w:val="00F17CDF"/>
    <w:rsid w:val="00F3361C"/>
    <w:rsid w:val="00F33793"/>
    <w:rsid w:val="00F350BD"/>
    <w:rsid w:val="00F37DA1"/>
    <w:rsid w:val="00F461AE"/>
    <w:rsid w:val="00F62503"/>
    <w:rsid w:val="00F65E5E"/>
    <w:rsid w:val="00F707DD"/>
    <w:rsid w:val="00F70816"/>
    <w:rsid w:val="00F81BF6"/>
    <w:rsid w:val="00F81D53"/>
    <w:rsid w:val="00F83306"/>
    <w:rsid w:val="00F838F0"/>
    <w:rsid w:val="00F84C17"/>
    <w:rsid w:val="00F910F7"/>
    <w:rsid w:val="00F9138E"/>
    <w:rsid w:val="00F91950"/>
    <w:rsid w:val="00F93E5F"/>
    <w:rsid w:val="00F956D5"/>
    <w:rsid w:val="00F96565"/>
    <w:rsid w:val="00FA482A"/>
    <w:rsid w:val="00FA6446"/>
    <w:rsid w:val="00FB0E6C"/>
    <w:rsid w:val="00FC0C95"/>
    <w:rsid w:val="00FC3B70"/>
    <w:rsid w:val="00FC64E7"/>
    <w:rsid w:val="00FC6DC0"/>
    <w:rsid w:val="00FD12C2"/>
    <w:rsid w:val="00FD1E30"/>
    <w:rsid w:val="00FD65EF"/>
    <w:rsid w:val="00FE4504"/>
    <w:rsid w:val="00FE5A91"/>
    <w:rsid w:val="00FF2F67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2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_"/>
    <w:qFormat/>
    <w:rsid w:val="000444F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ambria" w:eastAsia="Times New Roman" w:hAnsi="Cambria" w:cs="Cambria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8B4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COMPER2">
    <w:name w:val="Tabela COMPER 2"/>
    <w:basedOn w:val="Standardowy"/>
    <w:uiPriority w:val="99"/>
    <w:rsid w:val="000444F1"/>
    <w:rPr>
      <w:rFonts w:ascii="Cambria" w:eastAsia="Times New Roman" w:hAnsi="Cambria"/>
    </w:rPr>
    <w:tblPr>
      <w:tblStyleRowBandSize w:val="1"/>
      <w:tblBorders>
        <w:top w:val="single" w:sz="8" w:space="0" w:color="007FC0"/>
        <w:left w:val="single" w:sz="2" w:space="0" w:color="404040"/>
        <w:bottom w:val="single" w:sz="12" w:space="0" w:color="007FC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 Narrow" w:hAnsi="Arial Narrow"/>
        <w:b/>
        <w:i w:val="0"/>
        <w:sz w:val="20"/>
      </w:rPr>
      <w:tblPr/>
      <w:tcPr>
        <w:tcBorders>
          <w:top w:val="single" w:sz="8" w:space="0" w:color="007FC0"/>
          <w:left w:val="single" w:sz="2" w:space="0" w:color="404040"/>
          <w:bottom w:val="single" w:sz="8" w:space="0" w:color="007FC0"/>
          <w:right w:val="single" w:sz="2" w:space="0" w:color="404040"/>
          <w:insideH w:val="single" w:sz="8" w:space="0" w:color="007FC0"/>
          <w:insideV w:val="single" w:sz="2" w:space="0" w:color="404040"/>
          <w:tl2br w:val="nil"/>
          <w:tr2bl w:val="nil"/>
        </w:tcBorders>
      </w:tcPr>
    </w:tblStylePr>
    <w:tblStylePr w:type="lastRow">
      <w:rPr>
        <w:rFonts w:ascii="Arial Narrow" w:hAnsi="Arial Narrow"/>
        <w:b/>
        <w:i w:val="0"/>
      </w:rPr>
      <w:tblPr/>
      <w:tcPr>
        <w:tcBorders>
          <w:top w:val="single" w:sz="8" w:space="0" w:color="007FC0"/>
          <w:left w:val="single" w:sz="2" w:space="0" w:color="404040"/>
          <w:bottom w:val="single" w:sz="12" w:space="0" w:color="007FC0"/>
          <w:right w:val="single" w:sz="2" w:space="0" w:color="404040"/>
          <w:insideH w:val="single" w:sz="8" w:space="0" w:color="007FC0"/>
          <w:insideV w:val="single" w:sz="2" w:space="0" w:color="404040"/>
          <w:tl2br w:val="nil"/>
          <w:tr2bl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9307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46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59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E46597"/>
    <w:rPr>
      <w:rFonts w:ascii="Cambria" w:eastAsia="Times New Roman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5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6597"/>
    <w:rPr>
      <w:rFonts w:ascii="Cambria" w:eastAsia="Times New Roman" w:hAnsi="Cambria" w:cs="Cambr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6597"/>
    <w:rPr>
      <w:rFonts w:ascii="Tahoma" w:eastAsia="Times New Roman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72BAB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CharChar1">
    <w:name w:val="Char Char1"/>
    <w:basedOn w:val="Normalny"/>
    <w:rsid w:val="00CF1541"/>
    <w:p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 w:cs="Times New Roman"/>
      <w:szCs w:val="24"/>
      <w:lang w:eastAsia="pl-PL"/>
    </w:rPr>
  </w:style>
  <w:style w:type="paragraph" w:customStyle="1" w:styleId="Tytu1">
    <w:name w:val="Tytuł 1"/>
    <w:basedOn w:val="Postanowienie1"/>
    <w:qFormat/>
    <w:rsid w:val="008108B4"/>
    <w:pPr>
      <w:numPr>
        <w:ilvl w:val="0"/>
      </w:numPr>
      <w:tabs>
        <w:tab w:val="num" w:pos="360"/>
      </w:tabs>
      <w:spacing w:before="360" w:after="240"/>
      <w:ind w:left="851" w:hanging="851"/>
    </w:pPr>
    <w:rPr>
      <w:b/>
    </w:rPr>
  </w:style>
  <w:style w:type="paragraph" w:customStyle="1" w:styleId="Postanowienie1">
    <w:name w:val="Postanowienie 1"/>
    <w:basedOn w:val="Nagwek3"/>
    <w:qFormat/>
    <w:rsid w:val="008108B4"/>
    <w:pPr>
      <w:numPr>
        <w:ilvl w:val="1"/>
        <w:numId w:val="2"/>
      </w:numPr>
      <w:spacing w:before="0" w:after="120"/>
      <w:ind w:left="851" w:hanging="851"/>
    </w:pPr>
    <w:rPr>
      <w:rFonts w:ascii="Cambria" w:hAnsi="Cambria"/>
      <w:b w:val="0"/>
    </w:rPr>
  </w:style>
  <w:style w:type="paragraph" w:customStyle="1" w:styleId="Styl3">
    <w:name w:val="Styl3"/>
    <w:basedOn w:val="Postanowienie1"/>
    <w:link w:val="Styl3Znak"/>
    <w:qFormat/>
    <w:rsid w:val="008108B4"/>
    <w:pPr>
      <w:numPr>
        <w:ilvl w:val="2"/>
      </w:numPr>
      <w:ind w:left="1560" w:hanging="709"/>
    </w:pPr>
  </w:style>
  <w:style w:type="character" w:customStyle="1" w:styleId="Styl3Znak">
    <w:name w:val="Styl3 Znak"/>
    <w:link w:val="Styl3"/>
    <w:rsid w:val="008108B4"/>
    <w:rPr>
      <w:rFonts w:ascii="Cambria" w:eastAsia="Times New Roman" w:hAnsi="Cambria"/>
      <w:bCs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108B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0C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C95"/>
    <w:rPr>
      <w:rFonts w:ascii="Cambria" w:eastAsia="Times New Roman" w:hAnsi="Cambria" w:cs="Cambria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0C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C95"/>
    <w:rPr>
      <w:rFonts w:ascii="Cambria" w:eastAsia="Times New Roman" w:hAnsi="Cambria" w:cs="Cambria"/>
      <w:sz w:val="24"/>
      <w:lang w:eastAsia="en-US"/>
    </w:rPr>
  </w:style>
  <w:style w:type="paragraph" w:styleId="Tekstprzypisudolnego">
    <w:name w:val="footnote text"/>
    <w:aliases w:val="Podrozdział,Podrozdzia3"/>
    <w:basedOn w:val="Normalny"/>
    <w:link w:val="TekstprzypisudolnegoZnak"/>
    <w:qFormat/>
    <w:rsid w:val="00056482"/>
    <w:pPr>
      <w:spacing w:after="60" w:line="240" w:lineRule="auto"/>
    </w:pPr>
    <w:rPr>
      <w:rFonts w:cs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rsid w:val="00056482"/>
    <w:rPr>
      <w:rFonts w:ascii="Cambria" w:eastAsia="Times New Roman" w:hAnsi="Cambria"/>
    </w:rPr>
  </w:style>
  <w:style w:type="character" w:styleId="Odwoanieprzypisudolnego">
    <w:name w:val="footnote reference"/>
    <w:aliases w:val="Footnote,Footnote symbol"/>
    <w:basedOn w:val="Domylnaczcionkaakapitu"/>
    <w:rsid w:val="000564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0DF18C-5667-46BA-87F4-BF3A086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2022-04-01T12:26:00Z</dcterms:created>
  <dcterms:modified xsi:type="dcterms:W3CDTF">2022-05-10T09:46:00Z</dcterms:modified>
</cp:coreProperties>
</file>