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>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567" w:top="567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7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7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2</Pages>
  <Words>191</Words>
  <Characters>3064</Characters>
  <CharactersWithSpaces>3380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2024-05-16T11:59:42Z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