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603A" w14:textId="77777777"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69D75AA6" w14:textId="77777777"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14:paraId="05BD7A62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14:paraId="510CC08A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71435E26" w14:textId="77777777"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407FC6D9" w14:textId="77777777"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00FC542B" w14:textId="77777777" w:rsidR="00B9687A" w:rsidRDefault="00B9687A" w:rsidP="00B9687A">
      <w:pPr>
        <w:suppressAutoHyphens w:val="0"/>
        <w:spacing w:after="0" w:line="288" w:lineRule="auto"/>
        <w:rPr>
          <w:rFonts w:ascii="Book Antiqua" w:hAnsi="Book Antiqua"/>
          <w:b/>
          <w:sz w:val="28"/>
          <w:szCs w:val="28"/>
        </w:rPr>
      </w:pPr>
    </w:p>
    <w:p w14:paraId="6F28A42E" w14:textId="77777777" w:rsidR="00687218" w:rsidRPr="00D22016" w:rsidRDefault="00687218" w:rsidP="00687218">
      <w:pPr>
        <w:spacing w:after="0"/>
        <w:jc w:val="center"/>
        <w:rPr>
          <w:rFonts w:ascii="Book Antiqua" w:hAnsi="Book Antiqua" w:cs="Arial"/>
          <w:b/>
          <w:i/>
          <w:sz w:val="36"/>
          <w:szCs w:val="24"/>
        </w:rPr>
      </w:pPr>
      <w:r w:rsidRPr="00D22016">
        <w:rPr>
          <w:rFonts w:ascii="Book Antiqua" w:hAnsi="Book Antiqua"/>
          <w:b/>
          <w:i/>
          <w:sz w:val="36"/>
          <w:szCs w:val="24"/>
        </w:rPr>
        <w:t xml:space="preserve">„Dostawa </w:t>
      </w:r>
      <w:r w:rsidRPr="00D22016">
        <w:rPr>
          <w:rFonts w:ascii="Book Antiqua" w:hAnsi="Book Antiqua" w:cs="Arial"/>
          <w:b/>
          <w:i/>
          <w:sz w:val="36"/>
          <w:szCs w:val="24"/>
        </w:rPr>
        <w:t xml:space="preserve">aparatów słuchowych i wkładek usznych </w:t>
      </w:r>
    </w:p>
    <w:p w14:paraId="052F6E81" w14:textId="09F0F13D" w:rsidR="00687218" w:rsidRPr="00D22016" w:rsidRDefault="00687218" w:rsidP="00687218">
      <w:pPr>
        <w:spacing w:after="0"/>
        <w:jc w:val="center"/>
        <w:rPr>
          <w:rFonts w:ascii="Book Antiqua" w:hAnsi="Book Antiqua"/>
          <w:b/>
          <w:i/>
          <w:sz w:val="36"/>
          <w:szCs w:val="24"/>
        </w:rPr>
      </w:pPr>
      <w:proofErr w:type="gramStart"/>
      <w:r w:rsidRPr="00D22016">
        <w:rPr>
          <w:rFonts w:ascii="Book Antiqua" w:hAnsi="Book Antiqua" w:cs="Arial"/>
          <w:b/>
          <w:i/>
          <w:sz w:val="36"/>
          <w:szCs w:val="24"/>
        </w:rPr>
        <w:t>dla</w:t>
      </w:r>
      <w:proofErr w:type="gramEnd"/>
      <w:r w:rsidRPr="00D22016">
        <w:rPr>
          <w:rFonts w:ascii="Book Antiqua" w:hAnsi="Book Antiqua" w:cs="Arial"/>
          <w:b/>
          <w:i/>
          <w:sz w:val="36"/>
          <w:szCs w:val="24"/>
        </w:rPr>
        <w:t xml:space="preserve"> Copernicus PL Sp. z o.</w:t>
      </w:r>
      <w:proofErr w:type="gramStart"/>
      <w:r w:rsidRPr="00D22016">
        <w:rPr>
          <w:rFonts w:ascii="Book Antiqua" w:hAnsi="Book Antiqua" w:cs="Arial"/>
          <w:b/>
          <w:i/>
          <w:sz w:val="36"/>
          <w:szCs w:val="24"/>
        </w:rPr>
        <w:t>o</w:t>
      </w:r>
      <w:proofErr w:type="gramEnd"/>
      <w:r w:rsidRPr="00D22016">
        <w:rPr>
          <w:rFonts w:ascii="Book Antiqua" w:hAnsi="Book Antiqua"/>
          <w:b/>
          <w:i/>
          <w:sz w:val="36"/>
          <w:szCs w:val="24"/>
        </w:rPr>
        <w:t>.</w:t>
      </w:r>
      <w:r w:rsidR="002705AE">
        <w:rPr>
          <w:rFonts w:ascii="Book Antiqua" w:hAnsi="Book Antiqua"/>
          <w:b/>
          <w:i/>
          <w:sz w:val="36"/>
          <w:szCs w:val="24"/>
        </w:rPr>
        <w:t>-</w:t>
      </w:r>
      <w:proofErr w:type="gramStart"/>
      <w:r w:rsidR="002705AE">
        <w:rPr>
          <w:rFonts w:ascii="Book Antiqua" w:hAnsi="Book Antiqua"/>
          <w:b/>
          <w:i/>
          <w:sz w:val="36"/>
          <w:szCs w:val="24"/>
        </w:rPr>
        <w:t>powtórka</w:t>
      </w:r>
      <w:proofErr w:type="gramEnd"/>
      <w:r w:rsidRPr="00D22016">
        <w:rPr>
          <w:rFonts w:ascii="Book Antiqua" w:hAnsi="Book Antiqua"/>
          <w:b/>
          <w:i/>
          <w:sz w:val="36"/>
          <w:szCs w:val="24"/>
        </w:rPr>
        <w:t>”</w:t>
      </w:r>
    </w:p>
    <w:p w14:paraId="045D18FE" w14:textId="77777777" w:rsidR="00B9687A" w:rsidRPr="00B9687A" w:rsidRDefault="00B9687A" w:rsidP="00707261">
      <w:pPr>
        <w:suppressAutoHyphens w:val="0"/>
        <w:spacing w:after="0" w:line="288" w:lineRule="auto"/>
        <w:jc w:val="center"/>
        <w:rPr>
          <w:rFonts w:ascii="Book Antiqua" w:eastAsia="Times New Roman" w:hAnsi="Book Antiqua" w:cs="Times New Roman"/>
          <w:b/>
          <w:i/>
          <w:kern w:val="0"/>
          <w:sz w:val="36"/>
          <w:szCs w:val="28"/>
          <w:lang w:eastAsia="pl-PL"/>
        </w:rPr>
      </w:pPr>
    </w:p>
    <w:p w14:paraId="02947ADB" w14:textId="2DD3C180"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2705AE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100</w:t>
      </w:r>
      <w:bookmarkStart w:id="0" w:name="_GoBack"/>
      <w:bookmarkEnd w:id="0"/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14:paraId="1539C7FA" w14:textId="77777777"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14:paraId="64B97FF0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3B6DFAEC" w14:textId="77777777"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14:paraId="053FF652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01D95F51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0B2A4A65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7074BF5C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14:paraId="49DE25DF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proofErr w:type="gramStart"/>
      <w:r w:rsidRPr="008F79F4">
        <w:rPr>
          <w:rStyle w:val="fontstyle01"/>
          <w:rFonts w:ascii="Book Antiqua" w:hAnsi="Book Antiqua"/>
          <w:sz w:val="18"/>
        </w:rPr>
        <w:t>wypełnić jeśli</w:t>
      </w:r>
      <w:proofErr w:type="gramEnd"/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6A5FB77F" w14:textId="77777777"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750F7B05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14:paraId="6DEF60A1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pisemnie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lub e-mailem na adres  ………………………………………………..……………</w:t>
      </w:r>
    </w:p>
    <w:p w14:paraId="135AFD66" w14:textId="77777777"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w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przypadkach nagłych telefonicznie pod numer  …………………………………………</w:t>
      </w:r>
    </w:p>
    <w:p w14:paraId="24B7DDBD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14:paraId="3CC27187" w14:textId="77777777"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0A8A2808" w14:textId="77777777"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712E622A" w14:textId="77777777"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14:paraId="1B78EC5B" w14:textId="77777777"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14:paraId="091025B8" w14:textId="77777777"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14:paraId="4B83C255" w14:textId="77777777" w:rsidR="006A2424" w:rsidRPr="00E215FF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>dostawy</w:t>
      </w:r>
      <w:r w:rsidR="00707261">
        <w:rPr>
          <w:rFonts w:ascii="Book Antiqua" w:hAnsi="Book Antiqua" w:cs="Tahoma"/>
          <w:b/>
          <w:sz w:val="20"/>
          <w:szCs w:val="20"/>
          <w:u w:val="single"/>
        </w:rPr>
        <w:t xml:space="preserve">- liczony w dniach </w:t>
      </w:r>
      <w:proofErr w:type="gramStart"/>
      <w:r w:rsidR="00707261">
        <w:rPr>
          <w:rFonts w:ascii="Book Antiqua" w:hAnsi="Book Antiqua" w:cs="Tahoma"/>
          <w:b/>
          <w:sz w:val="20"/>
          <w:szCs w:val="20"/>
          <w:u w:val="single"/>
        </w:rPr>
        <w:t>roboczych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 </w:t>
      </w:r>
      <w:r w:rsidRPr="00E215FF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>stanowi</w:t>
      </w:r>
      <w:proofErr w:type="gramEnd"/>
      <w:r w:rsidRPr="00E215FF">
        <w:rPr>
          <w:rFonts w:ascii="Book Antiqua" w:hAnsi="Book Antiqua"/>
          <w:b/>
          <w:i/>
          <w:sz w:val="20"/>
          <w:szCs w:val="20"/>
          <w:u w:val="single"/>
        </w:rPr>
        <w:t xml:space="preserve"> kryterium oferty ocen)</w:t>
      </w:r>
    </w:p>
    <w:p w14:paraId="18C32374" w14:textId="77777777"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E215FF">
        <w:rPr>
          <w:rFonts w:ascii="Book Antiqua" w:hAnsi="Book Antiqua"/>
          <w:sz w:val="20"/>
          <w:szCs w:val="20"/>
        </w:rPr>
        <w:t>do</w:t>
      </w:r>
      <w:proofErr w:type="gramEnd"/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</w:t>
      </w:r>
      <w:r w:rsidRPr="00E215FF">
        <w:rPr>
          <w:rFonts w:ascii="Book Antiqua" w:hAnsi="Book Antiqua"/>
          <w:sz w:val="20"/>
          <w:szCs w:val="20"/>
        </w:rPr>
        <w:t xml:space="preserve"> dni,</w:t>
      </w:r>
    </w:p>
    <w:p w14:paraId="1133D430" w14:textId="77777777"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lastRenderedPageBreak/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proofErr w:type="gramEnd"/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4</w:t>
      </w:r>
      <w:r w:rsidRPr="00E215FF">
        <w:rPr>
          <w:rFonts w:ascii="Book Antiqua" w:hAnsi="Book Antiqua"/>
          <w:sz w:val="20"/>
          <w:szCs w:val="20"/>
        </w:rPr>
        <w:t xml:space="preserve"> dni,</w:t>
      </w:r>
    </w:p>
    <w:p w14:paraId="0C5FEE03" w14:textId="77777777" w:rsid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proofErr w:type="gramEnd"/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5</w:t>
      </w:r>
      <w:r w:rsidRPr="00E215FF">
        <w:rPr>
          <w:rFonts w:ascii="Book Antiqua" w:hAnsi="Book Antiqua"/>
          <w:sz w:val="20"/>
          <w:szCs w:val="20"/>
        </w:rPr>
        <w:t xml:space="preserve"> dni.</w:t>
      </w:r>
    </w:p>
    <w:p w14:paraId="573AA1E2" w14:textId="77777777"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Powyższe m</w:t>
      </w:r>
      <w:r w:rsidRPr="00E215FF">
        <w:rPr>
          <w:rFonts w:ascii="Book Antiqua" w:hAnsi="Book Antiqua"/>
          <w:i/>
          <w:sz w:val="20"/>
          <w:szCs w:val="20"/>
        </w:rPr>
        <w:t>ożna rozbudować w zależności od potrzeb.</w:t>
      </w:r>
    </w:p>
    <w:p w14:paraId="7F614F29" w14:textId="77777777"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14:paraId="5326E5F5" w14:textId="77777777"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14:paraId="1650D0D5" w14:textId="77777777"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14:paraId="35683347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nie będzie prowadził do powstania u Zamawiającego obowiązku podatkowego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zgodnie                           z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14:paraId="7983F199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55D86D5F" w14:textId="77777777"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6AE8B9D7" w14:textId="77777777"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D2E4F42" w14:textId="77777777"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14:paraId="74A39561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42A694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0B9E28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4D86E465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4AF4C67D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B6F9469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729D424E" w14:textId="77777777"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16059317" w14:textId="77777777"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6EE88A6E" w14:textId="77777777"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A139D30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D8224C4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54C91D03" w14:textId="77777777"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426AE391" w14:textId="77777777"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19A90599" w14:textId="77777777"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14:paraId="044882D8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14:paraId="6CD05E26" w14:textId="77777777"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14:paraId="10B8D52A" w14:textId="77777777"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1DD65B64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14:paraId="437CC878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14:paraId="252385D4" w14:textId="77777777"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14:paraId="5ED1CE83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14:paraId="31EC4FC8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14:paraId="51BD7D7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14:paraId="6D8398A5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14:paraId="6C83DE49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14:paraId="19F3898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14:paraId="2EF01FB7" w14:textId="77777777"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4CFD8C3E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14:paraId="35F9FB6B" w14:textId="77777777"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14:paraId="522F09FE" w14:textId="77777777"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19F321B" w14:textId="77777777"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52380A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43C7F6C" w14:textId="77777777"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FF11706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7F0D01E8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310F0FD7" w14:textId="77777777"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14:paraId="29DF7237" w14:textId="77777777"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8D37" w14:textId="77777777" w:rsidR="002F10E7" w:rsidRDefault="002F10E7" w:rsidP="00A21DCB">
      <w:pPr>
        <w:spacing w:after="0" w:line="240" w:lineRule="auto"/>
      </w:pPr>
      <w:r>
        <w:separator/>
      </w:r>
    </w:p>
  </w:endnote>
  <w:endnote w:type="continuationSeparator" w:id="0">
    <w:p w14:paraId="2AF65F23" w14:textId="77777777" w:rsidR="002F10E7" w:rsidRDefault="002F10E7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14:paraId="13D3DC8B" w14:textId="77777777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55D8ED0D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14:paraId="7E0AFE0F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14:paraId="06C18CB3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14:paraId="4A3F5D42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7BE98996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9502CD0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23D40201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175D9D0F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14:paraId="7D5F00DE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40B13C3C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6A609FBD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17DCFC9D" w14:textId="77777777"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1C07B3D" w14:textId="77777777"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AA1A" w14:textId="77777777" w:rsidR="002F10E7" w:rsidRDefault="002F10E7" w:rsidP="00A21DCB">
      <w:pPr>
        <w:spacing w:after="0" w:line="240" w:lineRule="auto"/>
      </w:pPr>
      <w:r>
        <w:separator/>
      </w:r>
    </w:p>
  </w:footnote>
  <w:footnote w:type="continuationSeparator" w:id="0">
    <w:p w14:paraId="22495BC6" w14:textId="77777777" w:rsidR="002F10E7" w:rsidRDefault="002F10E7" w:rsidP="00A21DCB">
      <w:pPr>
        <w:spacing w:after="0" w:line="240" w:lineRule="auto"/>
      </w:pPr>
      <w:r>
        <w:continuationSeparator/>
      </w:r>
    </w:p>
  </w:footnote>
  <w:footnote w:id="1">
    <w:p w14:paraId="70F40D5F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5DB1DE69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BAE4760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14:paraId="37F4F090" w14:textId="77777777"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14:paraId="4ABD911D" w14:textId="77777777"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14:paraId="6574E657" w14:textId="77777777"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4C8A" w14:textId="77777777"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AF6B21" wp14:editId="13ADC6C7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D49E3" w14:textId="77777777"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 wp14:anchorId="0CAF8874" wp14:editId="45127A8B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705AE"/>
    <w:rsid w:val="002826B8"/>
    <w:rsid w:val="002A7E65"/>
    <w:rsid w:val="002B4D93"/>
    <w:rsid w:val="002E15C7"/>
    <w:rsid w:val="002F10E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0EBB"/>
    <w:rsid w:val="00646860"/>
    <w:rsid w:val="00674E94"/>
    <w:rsid w:val="00687218"/>
    <w:rsid w:val="006A2424"/>
    <w:rsid w:val="006B28F9"/>
    <w:rsid w:val="006B3EED"/>
    <w:rsid w:val="006D162F"/>
    <w:rsid w:val="006E3911"/>
    <w:rsid w:val="006F7557"/>
    <w:rsid w:val="00707261"/>
    <w:rsid w:val="00722D08"/>
    <w:rsid w:val="007D35EE"/>
    <w:rsid w:val="008F79F4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F742B"/>
    <w:rsid w:val="00D71075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BB54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1A30-C0E0-4D0D-9756-3EEA9919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6</cp:revision>
  <cp:lastPrinted>2023-09-27T10:12:00Z</cp:lastPrinted>
  <dcterms:created xsi:type="dcterms:W3CDTF">2024-03-27T10:45:00Z</dcterms:created>
  <dcterms:modified xsi:type="dcterms:W3CDTF">2024-10-15T09:10:00Z</dcterms:modified>
</cp:coreProperties>
</file>