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Bisztynku”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baY5FKdwLAhjxJjcunt3PFplnA==">CgMxLjAyCGguZ2pkZ3hzMgloLjMwajB6bGw4AGomChRzdWdnZXN0LjI1YTVsY3JnMzdyYxIOUGF3ZcWCIEt1c3puZXJyITF2bkpaVEtGOFREUTJ0LUZVVE54SkN1eXBfOEJxMnQ4ZA==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