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28355" w14:textId="77777777" w:rsidR="001764B7" w:rsidRDefault="001764B7" w:rsidP="001764B7">
      <w:pPr>
        <w:spacing w:after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nr. 1</w:t>
      </w:r>
    </w:p>
    <w:p w14:paraId="257FCC5A" w14:textId="77777777" w:rsidR="00490789" w:rsidRDefault="00490789" w:rsidP="001764B7">
      <w:pPr>
        <w:spacing w:after="0"/>
        <w:jc w:val="right"/>
        <w:rPr>
          <w:rFonts w:asciiTheme="minorHAnsi" w:hAnsiTheme="minorHAnsi" w:cstheme="minorHAnsi"/>
          <w:b/>
        </w:rPr>
      </w:pPr>
    </w:p>
    <w:p w14:paraId="11B4FA52" w14:textId="6DA2D3EF" w:rsidR="001764B7" w:rsidRDefault="00490789" w:rsidP="00490789">
      <w:pPr>
        <w:spacing w:after="0"/>
        <w:rPr>
          <w:rFonts w:asciiTheme="minorHAnsi" w:hAnsiTheme="minorHAnsi" w:cstheme="minorHAnsi"/>
          <w:b/>
        </w:rPr>
      </w:pPr>
      <w:bookmarkStart w:id="0" w:name="_Hlk183710578"/>
      <w:r w:rsidRPr="00490789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I</w:t>
      </w:r>
      <w:r w:rsidRPr="00490789">
        <w:rPr>
          <w:rFonts w:asciiTheme="minorHAnsi" w:hAnsiTheme="minorHAnsi" w:cstheme="minorHAnsi"/>
          <w:b/>
        </w:rPr>
        <w:t>.</w:t>
      </w:r>
      <w:r w:rsidRPr="00490789">
        <w:rPr>
          <w:rFonts w:asciiTheme="minorHAnsi" w:hAnsiTheme="minorHAnsi" w:cstheme="minorHAnsi"/>
          <w:b/>
        </w:rPr>
        <w:tab/>
        <w:t xml:space="preserve">SALA </w:t>
      </w:r>
      <w:r>
        <w:rPr>
          <w:rFonts w:asciiTheme="minorHAnsi" w:hAnsiTheme="minorHAnsi" w:cstheme="minorHAnsi"/>
          <w:b/>
        </w:rPr>
        <w:t xml:space="preserve">WSTĘPNEJ INTESYWNEJ TERAPII </w:t>
      </w:r>
      <w:r w:rsidR="003220F9">
        <w:rPr>
          <w:rFonts w:asciiTheme="minorHAnsi" w:hAnsiTheme="minorHAnsi" w:cstheme="minorHAnsi"/>
          <w:b/>
        </w:rPr>
        <w:t xml:space="preserve">                                                                                </w:t>
      </w:r>
      <w:r w:rsidR="001764B7">
        <w:rPr>
          <w:rFonts w:asciiTheme="minorHAnsi" w:hAnsiTheme="minorHAnsi" w:cstheme="minorHAnsi"/>
          <w:b/>
        </w:rPr>
        <w:t>Cz.</w:t>
      </w:r>
      <w:r w:rsidR="00A53FDD">
        <w:rPr>
          <w:rFonts w:asciiTheme="minorHAnsi" w:hAnsiTheme="minorHAnsi" w:cstheme="minorHAnsi"/>
          <w:b/>
        </w:rPr>
        <w:t xml:space="preserve"> II.</w:t>
      </w:r>
      <w:r w:rsidR="001764B7">
        <w:rPr>
          <w:rFonts w:asciiTheme="minorHAnsi" w:hAnsiTheme="minorHAnsi" w:cstheme="minorHAnsi"/>
          <w:b/>
        </w:rPr>
        <w:t xml:space="preserve">–   </w:t>
      </w:r>
      <w:r w:rsidR="00A53FDD">
        <w:rPr>
          <w:rFonts w:asciiTheme="minorHAnsi" w:hAnsiTheme="minorHAnsi" w:cstheme="minorHAnsi"/>
          <w:b/>
        </w:rPr>
        <w:t>1</w:t>
      </w:r>
    </w:p>
    <w:bookmarkEnd w:id="0"/>
    <w:p w14:paraId="4638600F" w14:textId="77777777" w:rsidR="00607177" w:rsidRDefault="00607177" w:rsidP="0041319C">
      <w:pPr>
        <w:spacing w:after="0"/>
        <w:rPr>
          <w:rFonts w:asciiTheme="minorHAnsi" w:hAnsiTheme="minorHAnsi" w:cstheme="minorHAnsi"/>
        </w:rPr>
      </w:pPr>
    </w:p>
    <w:p w14:paraId="66F3D63B" w14:textId="1BE3B78D" w:rsidR="0041319C" w:rsidRPr="00B054DC" w:rsidRDefault="0041319C" w:rsidP="0041319C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 xml:space="preserve">Przedmiot  zamówienia: </w:t>
      </w:r>
      <w:r w:rsidR="00E64041" w:rsidRPr="00E64041">
        <w:rPr>
          <w:rFonts w:asciiTheme="minorHAnsi" w:hAnsiTheme="minorHAnsi" w:cstheme="minorHAnsi"/>
          <w:b/>
          <w:bCs/>
        </w:rPr>
        <w:t>P</w:t>
      </w:r>
      <w:r w:rsidR="00E07FD1" w:rsidRPr="00E07FD1">
        <w:rPr>
          <w:rFonts w:asciiTheme="minorHAnsi" w:hAnsiTheme="minorHAnsi" w:cstheme="minorHAnsi"/>
          <w:b/>
          <w:bCs/>
        </w:rPr>
        <w:t>anele pomp infuzyjnych z 6 pompami na każde stanowisko</w:t>
      </w:r>
      <w:r w:rsidR="00E07FD1" w:rsidRPr="00B054DC">
        <w:rPr>
          <w:rFonts w:asciiTheme="minorHAnsi" w:hAnsiTheme="minorHAnsi" w:cstheme="minorHAnsi"/>
          <w:b/>
          <w:bCs/>
        </w:rPr>
        <w:t xml:space="preserve">– </w:t>
      </w:r>
      <w:r w:rsidR="009A3B4C" w:rsidRPr="00E07FD1">
        <w:rPr>
          <w:rFonts w:asciiTheme="minorHAnsi" w:hAnsiTheme="minorHAnsi" w:cstheme="minorHAnsi"/>
          <w:b/>
          <w:bCs/>
        </w:rPr>
        <w:t>4 sztuki</w:t>
      </w:r>
    </w:p>
    <w:p w14:paraId="336E8959" w14:textId="77777777" w:rsidR="0041319C" w:rsidRPr="00B054DC" w:rsidRDefault="0041319C" w:rsidP="0041319C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</w:p>
    <w:p w14:paraId="3297F519" w14:textId="77777777" w:rsidR="0041319C" w:rsidRPr="00B054DC" w:rsidRDefault="0041319C" w:rsidP="0041319C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 xml:space="preserve">Producent : </w:t>
      </w:r>
    </w:p>
    <w:p w14:paraId="0AA28ACA" w14:textId="77777777" w:rsidR="0041319C" w:rsidRPr="00B054DC" w:rsidRDefault="0041319C" w:rsidP="0041319C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Nazwa-model/typ :</w:t>
      </w:r>
    </w:p>
    <w:p w14:paraId="18B31E88" w14:textId="7C27EF49" w:rsidR="0041319C" w:rsidRPr="00B054DC" w:rsidRDefault="0041319C" w:rsidP="0041319C">
      <w:pPr>
        <w:autoSpaceDN w:val="0"/>
        <w:textAlignment w:val="baseline"/>
        <w:rPr>
          <w:rFonts w:asciiTheme="minorHAnsi" w:hAnsiTheme="minorHAnsi" w:cstheme="minorHAnsi"/>
          <w:lang w:eastAsia="pl-PL"/>
        </w:rPr>
      </w:pPr>
      <w:r w:rsidRPr="00B054DC">
        <w:rPr>
          <w:rFonts w:asciiTheme="minorHAnsi" w:hAnsiTheme="minorHAnsi" w:cstheme="minorHAnsi"/>
          <w:lang w:eastAsia="pl-PL"/>
        </w:rPr>
        <w:t>Rok produkcji ( fabrycznie nowy z 2024r.</w:t>
      </w:r>
      <w:r w:rsidR="00A53FDD">
        <w:rPr>
          <w:rFonts w:asciiTheme="minorHAnsi" w:hAnsiTheme="minorHAnsi" w:cstheme="minorHAnsi"/>
          <w:lang w:eastAsia="pl-PL"/>
        </w:rPr>
        <w:t>/2025 r.</w:t>
      </w:r>
      <w:r w:rsidRPr="00B054DC">
        <w:rPr>
          <w:rFonts w:asciiTheme="minorHAnsi" w:hAnsiTheme="minorHAnsi" w:cstheme="minorHAnsi"/>
          <w:lang w:eastAsia="pl-PL"/>
        </w:rPr>
        <w:t>) :</w:t>
      </w:r>
    </w:p>
    <w:tbl>
      <w:tblPr>
        <w:tblStyle w:val="Tabela-Siatka"/>
        <w:tblW w:w="10916" w:type="dxa"/>
        <w:tblInd w:w="-743" w:type="dxa"/>
        <w:tblLook w:val="04A0" w:firstRow="1" w:lastRow="0" w:firstColumn="1" w:lastColumn="0" w:noHBand="0" w:noVBand="1"/>
      </w:tblPr>
      <w:tblGrid>
        <w:gridCol w:w="851"/>
        <w:gridCol w:w="5904"/>
        <w:gridCol w:w="1475"/>
        <w:gridCol w:w="2686"/>
      </w:tblGrid>
      <w:tr w:rsidR="0041319C" w:rsidRPr="00B054DC" w14:paraId="3C003118" w14:textId="77777777" w:rsidTr="00DF0DB8">
        <w:tc>
          <w:tcPr>
            <w:tcW w:w="851" w:type="dxa"/>
          </w:tcPr>
          <w:p w14:paraId="2AA71542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 xml:space="preserve">    Lp.</w:t>
            </w:r>
          </w:p>
        </w:tc>
        <w:tc>
          <w:tcPr>
            <w:tcW w:w="5904" w:type="dxa"/>
          </w:tcPr>
          <w:p w14:paraId="66E75440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techniczne:</w:t>
            </w:r>
          </w:p>
        </w:tc>
        <w:tc>
          <w:tcPr>
            <w:tcW w:w="0" w:type="auto"/>
          </w:tcPr>
          <w:p w14:paraId="5397FBD5" w14:textId="77777777" w:rsidR="0041319C" w:rsidRPr="00B054DC" w:rsidRDefault="0041319C" w:rsidP="00DF0DB8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Wymagany</w:t>
            </w:r>
          </w:p>
        </w:tc>
        <w:tc>
          <w:tcPr>
            <w:tcW w:w="2686" w:type="dxa"/>
          </w:tcPr>
          <w:p w14:paraId="08A4F964" w14:textId="77777777" w:rsidR="0041319C" w:rsidRPr="00B054DC" w:rsidRDefault="0041319C" w:rsidP="00DF0DB8">
            <w:pPr>
              <w:rPr>
                <w:rFonts w:asciiTheme="minorHAnsi" w:hAnsiTheme="minorHAnsi" w:cstheme="minorHAnsi"/>
                <w:b/>
              </w:rPr>
            </w:pPr>
            <w:r w:rsidRPr="00B054DC">
              <w:rPr>
                <w:rFonts w:asciiTheme="minorHAnsi" w:hAnsiTheme="minorHAnsi" w:cstheme="minorHAnsi"/>
                <w:b/>
              </w:rPr>
              <w:t>Parametr Oferowany ( należy wpisać)</w:t>
            </w:r>
          </w:p>
        </w:tc>
      </w:tr>
      <w:tr w:rsidR="0041319C" w:rsidRPr="00B054DC" w14:paraId="26529644" w14:textId="77777777" w:rsidTr="00DF0DB8">
        <w:tc>
          <w:tcPr>
            <w:tcW w:w="851" w:type="dxa"/>
          </w:tcPr>
          <w:p w14:paraId="6E682F4C" w14:textId="77777777" w:rsidR="0041319C" w:rsidRPr="00B054DC" w:rsidRDefault="0041319C" w:rsidP="00DF0DB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904" w:type="dxa"/>
          </w:tcPr>
          <w:p w14:paraId="2DEB5EB0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Parametry ogólne:</w:t>
            </w:r>
          </w:p>
        </w:tc>
        <w:tc>
          <w:tcPr>
            <w:tcW w:w="0" w:type="auto"/>
          </w:tcPr>
          <w:p w14:paraId="399C44F4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86" w:type="dxa"/>
          </w:tcPr>
          <w:p w14:paraId="3B0E1544" w14:textId="77777777" w:rsidR="0041319C" w:rsidRPr="00B054DC" w:rsidRDefault="0041319C" w:rsidP="00DF0DB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1FE69F43" w14:textId="77777777" w:rsidTr="00DF0DB8">
        <w:tc>
          <w:tcPr>
            <w:tcW w:w="851" w:type="dxa"/>
            <w:vAlign w:val="center"/>
          </w:tcPr>
          <w:p w14:paraId="495B69E5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bookmarkStart w:id="1" w:name="_Hlk183710879"/>
          </w:p>
        </w:tc>
        <w:tc>
          <w:tcPr>
            <w:tcW w:w="5904" w:type="dxa"/>
            <w:vAlign w:val="center"/>
          </w:tcPr>
          <w:p w14:paraId="52FA6310" w14:textId="3BF9F1C0" w:rsidR="00F25FE8" w:rsidRPr="00B054DC" w:rsidRDefault="00F25FE8" w:rsidP="00F25FE8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106CA3">
              <w:rPr>
                <w:rFonts w:asciiTheme="minorHAnsi" w:hAnsiTheme="minorHAnsi" w:cstheme="minorHAnsi"/>
              </w:rPr>
              <w:t xml:space="preserve">Pompa </w:t>
            </w:r>
            <w:proofErr w:type="spellStart"/>
            <w:r w:rsidRPr="00106CA3">
              <w:rPr>
                <w:rFonts w:asciiTheme="minorHAnsi" w:hAnsiTheme="minorHAnsi" w:cstheme="minorHAnsi"/>
              </w:rPr>
              <w:t>strzykawkowa</w:t>
            </w:r>
            <w:proofErr w:type="spellEnd"/>
            <w:r w:rsidRPr="00106CA3">
              <w:rPr>
                <w:rFonts w:asciiTheme="minorHAnsi" w:hAnsiTheme="minorHAnsi" w:cstheme="minorHAnsi"/>
              </w:rPr>
              <w:t xml:space="preserve"> sterowana elektronicznie przeznaczona do stosowania u dorosłych, dzieci oraz noworodków w celu okresowego lub ciągłego podawania pozajelitowych i dojelitowych płynów klinicznie akceptowanymi drogami podania. Należą do nich droga dożylna, dotętnicza, podskórna, zewnątrzoponowa i dojelitowa.</w:t>
            </w:r>
          </w:p>
        </w:tc>
        <w:tc>
          <w:tcPr>
            <w:tcW w:w="0" w:type="auto"/>
            <w:vAlign w:val="center"/>
          </w:tcPr>
          <w:p w14:paraId="6AB733BA" w14:textId="1795C139" w:rsidR="00F25FE8" w:rsidRPr="00B054DC" w:rsidRDefault="00F25FE8" w:rsidP="00F25FE8">
            <w:pPr>
              <w:ind w:left="708" w:hanging="708"/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1485B63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7F1DA1B" w14:textId="77777777" w:rsidTr="00170F3F">
        <w:tc>
          <w:tcPr>
            <w:tcW w:w="851" w:type="dxa"/>
            <w:vAlign w:val="center"/>
          </w:tcPr>
          <w:p w14:paraId="6D788CF4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4C44EA6" w14:textId="1549600C" w:rsidR="00F25FE8" w:rsidRPr="00B054DC" w:rsidRDefault="00F25FE8" w:rsidP="00F25FE8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Napięcie 11-16 V DC, zasilanie przy użyciu zasilacza zewnętrznego lub Stacji Dokującej </w:t>
            </w:r>
          </w:p>
        </w:tc>
        <w:tc>
          <w:tcPr>
            <w:tcW w:w="0" w:type="auto"/>
            <w:vAlign w:val="center"/>
          </w:tcPr>
          <w:p w14:paraId="3A0A0042" w14:textId="300A7DF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CB8C888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A8953B6" w14:textId="77777777" w:rsidTr="00170F3F">
        <w:tc>
          <w:tcPr>
            <w:tcW w:w="851" w:type="dxa"/>
            <w:vAlign w:val="center"/>
          </w:tcPr>
          <w:p w14:paraId="24490957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3B7BF" w14:textId="188DE901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Dokładność mechaniczna &lt;&lt;±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0,5%</w:t>
            </w:r>
          </w:p>
        </w:tc>
        <w:tc>
          <w:tcPr>
            <w:tcW w:w="0" w:type="auto"/>
            <w:vAlign w:val="center"/>
          </w:tcPr>
          <w:p w14:paraId="56ECD68E" w14:textId="1C59A34D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6EFD9F4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657E9E9D" w14:textId="77777777" w:rsidTr="00170F3F">
        <w:tc>
          <w:tcPr>
            <w:tcW w:w="851" w:type="dxa"/>
            <w:vAlign w:val="center"/>
          </w:tcPr>
          <w:p w14:paraId="115D4071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17DE1ED" w14:textId="3B4806BA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Strzykawka mocowana od przodu  </w:t>
            </w:r>
          </w:p>
        </w:tc>
        <w:tc>
          <w:tcPr>
            <w:tcW w:w="0" w:type="auto"/>
            <w:vAlign w:val="center"/>
          </w:tcPr>
          <w:p w14:paraId="155127C1" w14:textId="197B6866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56EC4BE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2C62D4D1" w14:textId="77777777" w:rsidTr="00170F3F">
        <w:tc>
          <w:tcPr>
            <w:tcW w:w="851" w:type="dxa"/>
            <w:vAlign w:val="center"/>
          </w:tcPr>
          <w:p w14:paraId="4597D4F6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D1B8BB" w14:textId="334A9BFE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Automatyczny napęd strzykawki</w:t>
            </w:r>
          </w:p>
        </w:tc>
        <w:tc>
          <w:tcPr>
            <w:tcW w:w="0" w:type="auto"/>
            <w:vAlign w:val="center"/>
          </w:tcPr>
          <w:p w14:paraId="44A8D632" w14:textId="5412480A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C2E042C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32981852" w14:textId="77777777" w:rsidTr="00170F3F">
        <w:tc>
          <w:tcPr>
            <w:tcW w:w="851" w:type="dxa"/>
            <w:vAlign w:val="center"/>
          </w:tcPr>
          <w:p w14:paraId="668B1EA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A6C045" w14:textId="0B7F9181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Zabezpieczenie przed swobodnym przepływem, niezależnie od położenia głowicy napędowej</w:t>
            </w:r>
          </w:p>
        </w:tc>
        <w:tc>
          <w:tcPr>
            <w:tcW w:w="0" w:type="auto"/>
            <w:vAlign w:val="center"/>
          </w:tcPr>
          <w:p w14:paraId="732ACB10" w14:textId="4B3E82EC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BBD2743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5F47AD2D" w14:textId="77777777" w:rsidTr="00170F3F">
        <w:tc>
          <w:tcPr>
            <w:tcW w:w="851" w:type="dxa"/>
            <w:vAlign w:val="center"/>
          </w:tcPr>
          <w:p w14:paraId="0FE9D99C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4DE4A8" w14:textId="18D836AA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Pompa skalibrowana do pracy ze strzykawkami o objętości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2/3,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5, 10, 20 i 50/60 ml różnych typów oraz różnych producentów  </w:t>
            </w:r>
          </w:p>
        </w:tc>
        <w:tc>
          <w:tcPr>
            <w:tcW w:w="0" w:type="auto"/>
            <w:vAlign w:val="center"/>
          </w:tcPr>
          <w:p w14:paraId="5C49B03C" w14:textId="59948075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1FAD846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7329976" w14:textId="77777777" w:rsidTr="00170F3F">
        <w:tc>
          <w:tcPr>
            <w:tcW w:w="851" w:type="dxa"/>
            <w:vAlign w:val="center"/>
          </w:tcPr>
          <w:p w14:paraId="5BCB7695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79106CD" w14:textId="0DB2D4F0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 xml:space="preserve">Masa pompy ok.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>1,4</w:t>
            </w:r>
            <w:r w:rsidRPr="00841796">
              <w:rPr>
                <w:rFonts w:asciiTheme="minorHAnsi" w:hAnsiTheme="minorHAnsi" w:cstheme="minorHAnsi"/>
                <w:color w:val="000000"/>
              </w:rPr>
              <w:t xml:space="preserve"> kg</w:t>
            </w:r>
          </w:p>
        </w:tc>
        <w:tc>
          <w:tcPr>
            <w:tcW w:w="0" w:type="auto"/>
            <w:vAlign w:val="center"/>
          </w:tcPr>
          <w:p w14:paraId="01BEA3B1" w14:textId="6F38621B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99A8024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726193F0" w14:textId="77777777" w:rsidTr="00170F3F">
        <w:tc>
          <w:tcPr>
            <w:tcW w:w="851" w:type="dxa"/>
            <w:vAlign w:val="center"/>
          </w:tcPr>
          <w:p w14:paraId="3B35E6B3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E03D5F" w14:textId="2B0D69A3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Wymiary 249 x 68 x 152 mm (szer. x wys. x gł.)</w:t>
            </w:r>
            <w:r w:rsidRPr="00841796">
              <w:rPr>
                <w:rFonts w:asciiTheme="minorHAnsi" w:hAnsiTheme="minorHAnsi" w:cstheme="minorHAnsi"/>
                <w:color w:val="000000"/>
              </w:rPr>
              <w:br/>
              <w:t xml:space="preserve">Pompa zajmująca przestrzeń nie większą niż </w:t>
            </w:r>
            <w:r w:rsidRPr="0084179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3 000 </w:t>
            </w:r>
            <w:r w:rsidRPr="00841796">
              <w:rPr>
                <w:rFonts w:asciiTheme="minorHAnsi" w:hAnsiTheme="minorHAnsi" w:cstheme="minorHAnsi"/>
                <w:color w:val="000000"/>
              </w:rPr>
              <w:t>cm3</w:t>
            </w:r>
          </w:p>
        </w:tc>
        <w:tc>
          <w:tcPr>
            <w:tcW w:w="0" w:type="auto"/>
            <w:vAlign w:val="center"/>
          </w:tcPr>
          <w:p w14:paraId="3E9F1804" w14:textId="05F6BD42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78691543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CB3D55D" w14:textId="77777777" w:rsidTr="00170F3F">
        <w:tc>
          <w:tcPr>
            <w:tcW w:w="851" w:type="dxa"/>
            <w:vAlign w:val="center"/>
          </w:tcPr>
          <w:p w14:paraId="24754DE8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33A9087" w14:textId="06B81A3C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41796">
              <w:rPr>
                <w:rFonts w:asciiTheme="minorHAnsi" w:hAnsiTheme="minorHAnsi" w:cstheme="minorHAnsi"/>
                <w:color w:val="000000"/>
              </w:rPr>
              <w:t>Klawiatura nawigacyjna do wprowadzania parametrów i obsługi pompy</w:t>
            </w:r>
          </w:p>
        </w:tc>
        <w:tc>
          <w:tcPr>
            <w:tcW w:w="0" w:type="auto"/>
            <w:vAlign w:val="center"/>
          </w:tcPr>
          <w:p w14:paraId="38C75D51" w14:textId="2A53790B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353B0D6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103DF8B7" w14:textId="77777777" w:rsidTr="00476772">
        <w:tc>
          <w:tcPr>
            <w:tcW w:w="851" w:type="dxa"/>
            <w:vAlign w:val="center"/>
          </w:tcPr>
          <w:p w14:paraId="2A0D1F89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7FA0F0" w14:textId="4081972C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i mocowania pompy do rur i szyn medycznych pionowych i poziomych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F4DECAE" w14:textId="37BCF7D7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B7DB2B8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39A8EE71" w14:textId="77777777" w:rsidTr="00476772">
        <w:tc>
          <w:tcPr>
            <w:tcW w:w="851" w:type="dxa"/>
            <w:vAlign w:val="center"/>
          </w:tcPr>
          <w:p w14:paraId="347B3CFA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F1B02" w14:textId="50344134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 xml:space="preserve">Możliwość łączenia 2 i 3 pomp w moduły bez użycia stacji dokującej.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1C13E9" w14:textId="37AFEA08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834B8F9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6528307" w14:textId="77777777" w:rsidTr="00476772">
        <w:tc>
          <w:tcPr>
            <w:tcW w:w="851" w:type="dxa"/>
            <w:vAlign w:val="center"/>
          </w:tcPr>
          <w:p w14:paraId="20D0318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09D984" w14:textId="0C94852A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Odłączalny uchwyt do przenoszenia zestaw 2 i 3 pomp zasilanych jednym przewodem.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EAA15B" w14:textId="2FD91601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63CD209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830FD8A" w14:textId="77777777" w:rsidTr="00476772">
        <w:tc>
          <w:tcPr>
            <w:tcW w:w="851" w:type="dxa"/>
            <w:vAlign w:val="center"/>
          </w:tcPr>
          <w:p w14:paraId="667982A0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952138" w14:textId="0315420B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Podświetlany ekran i przyciski z możliwością regulacji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84D2B" w14:textId="1D66E399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7252CB6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66B2A6CE" w14:textId="77777777" w:rsidTr="00476772">
        <w:tc>
          <w:tcPr>
            <w:tcW w:w="851" w:type="dxa"/>
            <w:vAlign w:val="center"/>
          </w:tcPr>
          <w:p w14:paraId="5A7B4C2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2671A1" w14:textId="6CED4F82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głośności w zakresie od 59dBA do 74dBA na 9 poziomach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1FD10" w14:textId="2E2550FF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0B624E9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E3C81BF" w14:textId="77777777" w:rsidTr="00476772">
        <w:tc>
          <w:tcPr>
            <w:tcW w:w="851" w:type="dxa"/>
            <w:vAlign w:val="center"/>
          </w:tcPr>
          <w:p w14:paraId="6EB61476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BE030" w14:textId="6F14CED8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Regulacja jasności i kontrastu ekranu na 9 poziomach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46146BE0" w14:textId="04C463E6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87B536F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52AA2DC" w14:textId="77777777" w:rsidTr="00170F3F">
        <w:tc>
          <w:tcPr>
            <w:tcW w:w="851" w:type="dxa"/>
            <w:vAlign w:val="center"/>
          </w:tcPr>
          <w:p w14:paraId="024A4D9D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902F9D" w14:textId="7CB69428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954F1F">
              <w:rPr>
                <w:rFonts w:asciiTheme="minorHAnsi" w:hAnsiTheme="minorHAnsi" w:cstheme="minorHAnsi"/>
                <w:color w:val="000000"/>
              </w:rPr>
              <w:t>Zasilanie z akumulatora wewnętrznego min</w:t>
            </w:r>
            <w:r w:rsidRPr="00954F1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19 h. przy przepływie 5 ml/h. ; 10h przy przepływie 25ml/h</w:t>
            </w:r>
          </w:p>
        </w:tc>
        <w:tc>
          <w:tcPr>
            <w:tcW w:w="0" w:type="auto"/>
            <w:vAlign w:val="center"/>
          </w:tcPr>
          <w:p w14:paraId="717F80FC" w14:textId="12AAAC4A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43844A7E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7B41368B" w14:textId="77777777" w:rsidTr="00170F3F">
        <w:tc>
          <w:tcPr>
            <w:tcW w:w="851" w:type="dxa"/>
            <w:vAlign w:val="center"/>
          </w:tcPr>
          <w:p w14:paraId="0FB698A8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0B2A7D" w14:textId="62FD33AA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  <w:vAlign w:val="center"/>
          </w:tcPr>
          <w:p w14:paraId="2669E5DD" w14:textId="79DFF043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7A40ADA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30721E2D" w14:textId="77777777" w:rsidTr="00170F3F">
        <w:tc>
          <w:tcPr>
            <w:tcW w:w="851" w:type="dxa"/>
            <w:vAlign w:val="center"/>
          </w:tcPr>
          <w:p w14:paraId="0FD65B2D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747762" w14:textId="5E2C01DD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programowania parametrów infuzji w mg,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mcg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U lub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mmol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,   z uwzględnieniem lub nie masy ciała w odniesieniu do czasu ( np. mg/kg/min; mg/kg/h; mg/kg/24h) </w:t>
            </w:r>
          </w:p>
        </w:tc>
        <w:tc>
          <w:tcPr>
            <w:tcW w:w="0" w:type="auto"/>
            <w:vAlign w:val="center"/>
          </w:tcPr>
          <w:p w14:paraId="6814C09E" w14:textId="6F56A267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F2E5B51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36E570D6" w14:textId="77777777" w:rsidTr="00170F3F">
        <w:tc>
          <w:tcPr>
            <w:tcW w:w="851" w:type="dxa"/>
            <w:vAlign w:val="center"/>
          </w:tcPr>
          <w:p w14:paraId="24FC5F9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ECFDE1" w14:textId="7B0C50B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Zakres prędkości infuzji podstawowej min. 0,1 do 999,9 ml/h  Prędkość infuzji w zakresie od 0,1 - 99,99ml/h programowana co 0,01ml/godz. </w:t>
            </w:r>
          </w:p>
        </w:tc>
        <w:tc>
          <w:tcPr>
            <w:tcW w:w="0" w:type="auto"/>
            <w:vAlign w:val="center"/>
          </w:tcPr>
          <w:p w14:paraId="1ED44D2C" w14:textId="66E9401A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1A15FCF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2EB819F8" w14:textId="77777777" w:rsidTr="00170F3F">
        <w:tc>
          <w:tcPr>
            <w:tcW w:w="851" w:type="dxa"/>
            <w:vAlign w:val="center"/>
          </w:tcPr>
          <w:p w14:paraId="1B26A1C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1A0A11" w14:textId="5AECCAAA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Prędkości  bolusa min:</w:t>
            </w:r>
          </w:p>
        </w:tc>
        <w:tc>
          <w:tcPr>
            <w:tcW w:w="0" w:type="auto"/>
            <w:vAlign w:val="center"/>
          </w:tcPr>
          <w:p w14:paraId="66010AC9" w14:textId="312EDF8F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107AE57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8C3100B" w14:textId="77777777" w:rsidTr="00170F3F">
        <w:tc>
          <w:tcPr>
            <w:tcW w:w="851" w:type="dxa"/>
            <w:vAlign w:val="center"/>
          </w:tcPr>
          <w:p w14:paraId="67C91B2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24969E" w14:textId="157C889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poj.3ml =1-150 ml/h</w:t>
            </w:r>
          </w:p>
        </w:tc>
        <w:tc>
          <w:tcPr>
            <w:tcW w:w="0" w:type="auto"/>
            <w:vAlign w:val="center"/>
          </w:tcPr>
          <w:p w14:paraId="7BB2FC3E" w14:textId="25096B08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C83D65B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330E587" w14:textId="77777777" w:rsidTr="00170F3F">
        <w:tc>
          <w:tcPr>
            <w:tcW w:w="851" w:type="dxa"/>
            <w:vAlign w:val="center"/>
          </w:tcPr>
          <w:p w14:paraId="3E4B2534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DF0000" w14:textId="7E7BA4B1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poj.5ml =1-300 ml/h</w:t>
            </w:r>
          </w:p>
        </w:tc>
        <w:tc>
          <w:tcPr>
            <w:tcW w:w="0" w:type="auto"/>
            <w:vAlign w:val="center"/>
          </w:tcPr>
          <w:p w14:paraId="7D0FDE1B" w14:textId="61FCD53B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4C8B767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A8143D1" w14:textId="77777777" w:rsidTr="00170F3F">
        <w:tc>
          <w:tcPr>
            <w:tcW w:w="851" w:type="dxa"/>
            <w:vAlign w:val="center"/>
          </w:tcPr>
          <w:p w14:paraId="05E2303B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610626" w14:textId="489343AD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poj.10ml =1-500 ml/h</w:t>
            </w:r>
          </w:p>
        </w:tc>
        <w:tc>
          <w:tcPr>
            <w:tcW w:w="0" w:type="auto"/>
            <w:vAlign w:val="center"/>
          </w:tcPr>
          <w:p w14:paraId="1235D1EA" w14:textId="2FAC45F6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5C2BAB3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46F705A" w14:textId="77777777" w:rsidTr="00170F3F">
        <w:tc>
          <w:tcPr>
            <w:tcW w:w="851" w:type="dxa"/>
            <w:vAlign w:val="center"/>
          </w:tcPr>
          <w:p w14:paraId="1C1353CA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821BF7" w14:textId="6D7DBAAA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poj.20ml =1-800 ml/h</w:t>
            </w:r>
          </w:p>
        </w:tc>
        <w:tc>
          <w:tcPr>
            <w:tcW w:w="0" w:type="auto"/>
            <w:vAlign w:val="center"/>
          </w:tcPr>
          <w:p w14:paraId="16779352" w14:textId="7605A4F9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45B7A4C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7ED23897" w14:textId="77777777" w:rsidTr="00170F3F">
        <w:tc>
          <w:tcPr>
            <w:tcW w:w="851" w:type="dxa"/>
            <w:vAlign w:val="center"/>
          </w:tcPr>
          <w:p w14:paraId="02361620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FB6C8A" w14:textId="3B08B21F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poj.30ml =1-1200 ml/h</w:t>
            </w:r>
          </w:p>
        </w:tc>
        <w:tc>
          <w:tcPr>
            <w:tcW w:w="0" w:type="auto"/>
            <w:vAlign w:val="center"/>
          </w:tcPr>
          <w:p w14:paraId="1B7FDCB4" w14:textId="2513F60A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342A575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5C8C014" w14:textId="77777777" w:rsidTr="00170F3F">
        <w:tc>
          <w:tcPr>
            <w:tcW w:w="851" w:type="dxa"/>
            <w:vAlign w:val="center"/>
          </w:tcPr>
          <w:p w14:paraId="61D1F6CF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64A13" w14:textId="1C473ED6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dla strzykawki o poj.50/60ml =1-1800 ml/h</w:t>
            </w:r>
          </w:p>
        </w:tc>
        <w:tc>
          <w:tcPr>
            <w:tcW w:w="0" w:type="auto"/>
            <w:vAlign w:val="center"/>
          </w:tcPr>
          <w:p w14:paraId="5984A3CD" w14:textId="717CA9A8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08CD4B3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5805C889" w14:textId="77777777" w:rsidTr="00170F3F">
        <w:tc>
          <w:tcPr>
            <w:tcW w:w="851" w:type="dxa"/>
            <w:vAlign w:val="center"/>
          </w:tcPr>
          <w:p w14:paraId="417D8C11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7348FD" w14:textId="2FB3C4DA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 xml:space="preserve">Możliwość utworzenia </w:t>
            </w:r>
            <w:r w:rsidRPr="00510C53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Bazy Leków 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używanych w </w:t>
            </w:r>
            <w:proofErr w:type="spellStart"/>
            <w:r w:rsidRPr="00510C53">
              <w:rPr>
                <w:rFonts w:asciiTheme="minorHAnsi" w:hAnsiTheme="minorHAnsi" w:cstheme="minorHAnsi"/>
                <w:color w:val="000000"/>
              </w:rPr>
              <w:t>infuzjoterapii</w:t>
            </w:r>
            <w:proofErr w:type="spellEnd"/>
            <w:r w:rsidRPr="00510C53">
              <w:rPr>
                <w:rFonts w:asciiTheme="minorHAnsi" w:hAnsiTheme="minorHAnsi" w:cstheme="minorHAnsi"/>
                <w:color w:val="000000"/>
              </w:rPr>
              <w:t xml:space="preserve"> na terenie szpital</w:t>
            </w:r>
            <w:r>
              <w:rPr>
                <w:rFonts w:asciiTheme="minorHAnsi" w:hAnsiTheme="minorHAnsi" w:cstheme="minorHAnsi"/>
                <w:color w:val="000000"/>
              </w:rPr>
              <w:t>a</w:t>
            </w:r>
            <w:r w:rsidRPr="00510C53">
              <w:rPr>
                <w:rFonts w:asciiTheme="minorHAnsi" w:hAnsiTheme="minorHAnsi" w:cstheme="minorHAnsi"/>
                <w:color w:val="000000"/>
              </w:rPr>
              <w:t xml:space="preserve">  z możliwością zastosowania oprogramowania do tworzenia Bibliotek Leków na poszczególne oddziały.</w:t>
            </w:r>
          </w:p>
        </w:tc>
        <w:tc>
          <w:tcPr>
            <w:tcW w:w="0" w:type="auto"/>
            <w:vAlign w:val="center"/>
          </w:tcPr>
          <w:p w14:paraId="49C3B919" w14:textId="5A0EDE95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4A0CDD8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DFEFB82" w14:textId="77777777" w:rsidTr="00170F3F">
        <w:tc>
          <w:tcPr>
            <w:tcW w:w="851" w:type="dxa"/>
            <w:vAlign w:val="center"/>
          </w:tcPr>
          <w:p w14:paraId="70EB0D5A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46C30E2" w14:textId="21AA7CEA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  <w:color w:val="000000"/>
              </w:rPr>
              <w:t>Możliwość skonfigurowania do 50 oddziałów w jednej pompie.</w:t>
            </w:r>
          </w:p>
        </w:tc>
        <w:tc>
          <w:tcPr>
            <w:tcW w:w="0" w:type="auto"/>
            <w:vAlign w:val="center"/>
          </w:tcPr>
          <w:p w14:paraId="459BF2E4" w14:textId="05EE0C95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AC1F5CA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3A38AC9F" w14:textId="77777777" w:rsidTr="00170F3F">
        <w:tc>
          <w:tcPr>
            <w:tcW w:w="851" w:type="dxa"/>
            <w:vAlign w:val="center"/>
          </w:tcPr>
          <w:p w14:paraId="4A037BC0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AF4035" w14:textId="6343B35B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510C53">
              <w:rPr>
                <w:rFonts w:asciiTheme="minorHAnsi" w:hAnsiTheme="minorHAnsi" w:cstheme="minorHAnsi"/>
              </w:rPr>
              <w:t xml:space="preserve">Biblioteka Leków zawierająca 1 200  leków z możliwością podzielenia na min. 30 grup.  </w:t>
            </w:r>
          </w:p>
        </w:tc>
        <w:tc>
          <w:tcPr>
            <w:tcW w:w="0" w:type="auto"/>
            <w:vAlign w:val="center"/>
          </w:tcPr>
          <w:p w14:paraId="183EE15C" w14:textId="048B6468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F58516E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310F7C7C" w14:textId="77777777" w:rsidTr="00170F3F">
        <w:tc>
          <w:tcPr>
            <w:tcW w:w="851" w:type="dxa"/>
            <w:vAlign w:val="center"/>
          </w:tcPr>
          <w:p w14:paraId="2B432A6D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BF6932" w14:textId="5BA4534B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</w:rPr>
              <w:t>Biblioteka leków zawierająca po 10 stężeń dla każdego leku.</w:t>
            </w:r>
          </w:p>
        </w:tc>
        <w:tc>
          <w:tcPr>
            <w:tcW w:w="0" w:type="auto"/>
            <w:vAlign w:val="center"/>
          </w:tcPr>
          <w:p w14:paraId="2C337596" w14:textId="3E72D366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D32CDD7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02CDE1B" w14:textId="77777777" w:rsidTr="00170F3F">
        <w:tc>
          <w:tcPr>
            <w:tcW w:w="851" w:type="dxa"/>
            <w:vAlign w:val="center"/>
          </w:tcPr>
          <w:p w14:paraId="3A27708C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1579FD" w14:textId="39F0D35F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510C53">
              <w:rPr>
                <w:rFonts w:asciiTheme="minorHAnsi" w:hAnsiTheme="minorHAnsi" w:cstheme="minorHAnsi"/>
              </w:rPr>
              <w:t xml:space="preserve">Leki zawarte w Bibliotece Leków powiązane z parametrami infuzji (limity względne </w:t>
            </w:r>
            <w:proofErr w:type="spellStart"/>
            <w:r w:rsidRPr="00510C53">
              <w:rPr>
                <w:rFonts w:asciiTheme="minorHAnsi" w:hAnsiTheme="minorHAnsi" w:cstheme="minorHAnsi"/>
              </w:rPr>
              <w:t>min-max;limity</w:t>
            </w:r>
            <w:proofErr w:type="spellEnd"/>
            <w:r w:rsidRPr="00510C53">
              <w:rPr>
                <w:rFonts w:asciiTheme="minorHAnsi" w:hAnsiTheme="minorHAnsi" w:cstheme="minorHAnsi"/>
              </w:rPr>
              <w:t xml:space="preserve"> bezwzględne min-max, parametry standardowe), możliwość wyświetlania naprzemiennego nazwy leku i/lub wybranych parametrów infuzji. </w:t>
            </w:r>
          </w:p>
        </w:tc>
        <w:tc>
          <w:tcPr>
            <w:tcW w:w="0" w:type="auto"/>
            <w:vAlign w:val="center"/>
          </w:tcPr>
          <w:p w14:paraId="50F58B31" w14:textId="5A56FF66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6E9BE0D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C3699EF" w14:textId="77777777" w:rsidTr="00DF0DB8">
        <w:tc>
          <w:tcPr>
            <w:tcW w:w="851" w:type="dxa"/>
            <w:vAlign w:val="center"/>
          </w:tcPr>
          <w:p w14:paraId="54515C24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126C8FEB" w14:textId="2CED1B94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8743FA">
              <w:rPr>
                <w:rFonts w:asciiTheme="minorHAnsi" w:hAnsiTheme="minorHAnsi" w:cstheme="minorHAnsi"/>
                <w:bCs/>
              </w:rPr>
              <w:t>Tryb przejęcia - automatyczne przejmowanie infuzji  przez kolejną pompę natychmiast po zakończeniu infuzji w poprzedniej. Pompy w trakcie pracy muszą być czytelnie oznaczone. np. pompa 1, pompa 2.</w:t>
            </w:r>
          </w:p>
        </w:tc>
        <w:tc>
          <w:tcPr>
            <w:tcW w:w="0" w:type="auto"/>
            <w:vAlign w:val="center"/>
          </w:tcPr>
          <w:p w14:paraId="69D9EC75" w14:textId="0E1E102C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68512648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1EB60F37" w14:textId="77777777" w:rsidTr="00170F3F">
        <w:tc>
          <w:tcPr>
            <w:tcW w:w="851" w:type="dxa"/>
            <w:vAlign w:val="center"/>
          </w:tcPr>
          <w:p w14:paraId="25BC3061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8C8D0" w14:textId="22628596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 xml:space="preserve">Możliwość opcjonalnego rozszerzenia oprogramowania pompy o tryb </w:t>
            </w:r>
            <w:r w:rsidRPr="00ED4BE6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PCA i PCEA </w:t>
            </w:r>
          </w:p>
        </w:tc>
        <w:tc>
          <w:tcPr>
            <w:tcW w:w="0" w:type="auto"/>
            <w:vAlign w:val="center"/>
          </w:tcPr>
          <w:p w14:paraId="635CA9A7" w14:textId="46E2E89C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 w:rsidR="00F6696C"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74E5608E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2A1E4112" w14:textId="77777777" w:rsidTr="00476772">
        <w:tc>
          <w:tcPr>
            <w:tcW w:w="851" w:type="dxa"/>
            <w:vAlign w:val="center"/>
          </w:tcPr>
          <w:p w14:paraId="49726C8C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BB2035" w14:textId="28212B86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ED4BE6">
              <w:rPr>
                <w:rFonts w:asciiTheme="minorHAnsi" w:hAnsiTheme="minorHAnsi" w:cstheme="minorHAnsi"/>
                <w:color w:val="000000"/>
              </w:rPr>
              <w:t>Zakres ciśnienia okluzji od 75 mmHg do 900mmHg, z wyborem na 9 poziomach.</w:t>
            </w:r>
          </w:p>
        </w:tc>
        <w:tc>
          <w:tcPr>
            <w:tcW w:w="0" w:type="auto"/>
          </w:tcPr>
          <w:p w14:paraId="36CF79EE" w14:textId="58AD337F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50856FC9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D201D26" w14:textId="77777777" w:rsidTr="00170F3F">
        <w:tc>
          <w:tcPr>
            <w:tcW w:w="851" w:type="dxa"/>
            <w:vAlign w:val="center"/>
          </w:tcPr>
          <w:p w14:paraId="65B31B37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327F85B" w14:textId="6A665951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Prezentacja ciągłego pomiaru ciśnienia w linii w formie graficznej.  </w:t>
            </w:r>
          </w:p>
        </w:tc>
        <w:tc>
          <w:tcPr>
            <w:tcW w:w="0" w:type="auto"/>
            <w:vAlign w:val="center"/>
          </w:tcPr>
          <w:p w14:paraId="4F6F79B3" w14:textId="3F18963D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029C9C2D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1B545970" w14:textId="77777777" w:rsidTr="00170F3F">
        <w:tc>
          <w:tcPr>
            <w:tcW w:w="851" w:type="dxa"/>
            <w:vAlign w:val="center"/>
          </w:tcPr>
          <w:p w14:paraId="640B1A7D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041C88" w14:textId="2EA39482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programowania objętości do podania (VTBD) 0,1- 9999 ml</w:t>
            </w:r>
          </w:p>
        </w:tc>
        <w:tc>
          <w:tcPr>
            <w:tcW w:w="0" w:type="auto"/>
            <w:vAlign w:val="center"/>
          </w:tcPr>
          <w:p w14:paraId="4DC74F31" w14:textId="51D531A5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7235F712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5C032220" w14:textId="77777777" w:rsidTr="00170F3F">
        <w:tc>
          <w:tcPr>
            <w:tcW w:w="851" w:type="dxa"/>
            <w:vAlign w:val="center"/>
          </w:tcPr>
          <w:p w14:paraId="0DF7E6BF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5BE4AE" w14:textId="0EBE0E45" w:rsidR="00F25FE8" w:rsidRPr="00B054DC" w:rsidRDefault="00F25FE8" w:rsidP="00F25FE8">
            <w:pPr>
              <w:rPr>
                <w:rFonts w:asciiTheme="minorHAnsi" w:hAnsiTheme="minorHAnsi" w:cstheme="minorHAnsi"/>
                <w:b/>
                <w:highlight w:val="yellow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Funkcja programowania czasu infuzji przynajmniej od 1min –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99:59</w:t>
            </w:r>
            <w:r w:rsidRPr="004F1747">
              <w:rPr>
                <w:rFonts w:asciiTheme="minorHAnsi" w:hAnsiTheme="minorHAnsi" w:cstheme="minorHAnsi"/>
                <w:color w:val="000000"/>
              </w:rPr>
              <w:t xml:space="preserve"> godzin</w:t>
            </w:r>
          </w:p>
        </w:tc>
        <w:tc>
          <w:tcPr>
            <w:tcW w:w="0" w:type="auto"/>
            <w:vAlign w:val="center"/>
          </w:tcPr>
          <w:p w14:paraId="3260E95D" w14:textId="4030CA75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4AE55BE4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76E72E5F" w14:textId="77777777" w:rsidTr="00170F3F">
        <w:tc>
          <w:tcPr>
            <w:tcW w:w="851" w:type="dxa"/>
            <w:vAlign w:val="center"/>
          </w:tcPr>
          <w:p w14:paraId="7F411FD4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13AD39" w14:textId="322C95F2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>Funkcja stand-by programowana w zakresie 1 min - 23:59 godz.</w:t>
            </w:r>
          </w:p>
        </w:tc>
        <w:tc>
          <w:tcPr>
            <w:tcW w:w="0" w:type="auto"/>
            <w:vAlign w:val="center"/>
          </w:tcPr>
          <w:p w14:paraId="4DE94843" w14:textId="19AFEF2D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09860E81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7F2B4D2" w14:textId="77777777" w:rsidTr="00170F3F">
        <w:tc>
          <w:tcPr>
            <w:tcW w:w="851" w:type="dxa"/>
            <w:vAlign w:val="center"/>
          </w:tcPr>
          <w:p w14:paraId="1DEAE59B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E559E0" w14:textId="40DB3D94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4F1747">
              <w:rPr>
                <w:rFonts w:asciiTheme="minorHAnsi" w:hAnsiTheme="minorHAnsi" w:cstheme="minorHAnsi"/>
                <w:color w:val="000000"/>
              </w:rPr>
              <w:t xml:space="preserve">Komunikacja pomp umieszczonych w stacji dokującej/stanowisko pacjenta z komputerem poprzez Ethernet - złącze </w:t>
            </w:r>
            <w:r w:rsidRPr="004F1747">
              <w:rPr>
                <w:rFonts w:asciiTheme="minorHAnsi" w:hAnsiTheme="minorHAnsi" w:cstheme="minorHAnsi"/>
                <w:b/>
                <w:bCs/>
                <w:color w:val="000000"/>
              </w:rPr>
              <w:t>RJ45</w:t>
            </w:r>
            <w:r w:rsidRPr="004F1747">
              <w:rPr>
                <w:rFonts w:asciiTheme="minorHAnsi" w:hAnsiTheme="minorHAnsi" w:cstheme="minorHAnsi"/>
                <w:color w:val="000000"/>
              </w:rPr>
              <w:t>. Bez konieczności stosowania dodatkowych kabli np.RS232.</w:t>
            </w:r>
          </w:p>
        </w:tc>
        <w:tc>
          <w:tcPr>
            <w:tcW w:w="0" w:type="auto"/>
            <w:vAlign w:val="center"/>
          </w:tcPr>
          <w:p w14:paraId="5EB5BAE4" w14:textId="37247B75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CCFB8D5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5B92A41D" w14:textId="77777777" w:rsidTr="00170F3F">
        <w:tc>
          <w:tcPr>
            <w:tcW w:w="851" w:type="dxa"/>
            <w:vAlign w:val="center"/>
          </w:tcPr>
          <w:p w14:paraId="450FB66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66126" w14:textId="742206D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Pompa przygotowana do rozbudowy o moduł do bezprzewodowej komunikacji pomp z komputerem poza stacją dokującą .</w:t>
            </w:r>
          </w:p>
        </w:tc>
        <w:tc>
          <w:tcPr>
            <w:tcW w:w="0" w:type="auto"/>
            <w:vAlign w:val="center"/>
          </w:tcPr>
          <w:p w14:paraId="69599158" w14:textId="77626BCB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C29D30F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664ACE63" w14:textId="77777777" w:rsidTr="00170F3F">
        <w:tc>
          <w:tcPr>
            <w:tcW w:w="851" w:type="dxa"/>
            <w:vAlign w:val="center"/>
          </w:tcPr>
          <w:p w14:paraId="23AED92F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84BE5E" w14:textId="780BF5AB" w:rsidR="00F25FE8" w:rsidRPr="00B054DC" w:rsidRDefault="00F25FE8" w:rsidP="00F25FE8">
            <w:pPr>
              <w:rPr>
                <w:rFonts w:asciiTheme="minorHAnsi" w:hAnsiTheme="minorHAnsi" w:cstheme="minorHAnsi"/>
                <w:highlight w:val="yellow"/>
              </w:rPr>
            </w:pPr>
            <w:r w:rsidRPr="00DA5F7E">
              <w:rPr>
                <w:rFonts w:asciiTheme="minorHAnsi" w:hAnsiTheme="minorHAnsi" w:cstheme="minorHAnsi"/>
                <w:color w:val="000000"/>
              </w:rPr>
              <w:t>W przypadku niewłaściwej dawki 0.1 ml spowodowanej niepoprawnym działaniem urządzenia, pompa wyłączy się automatycznie.</w:t>
            </w:r>
          </w:p>
        </w:tc>
        <w:tc>
          <w:tcPr>
            <w:tcW w:w="0" w:type="auto"/>
            <w:vAlign w:val="center"/>
          </w:tcPr>
          <w:p w14:paraId="0F880CB2" w14:textId="23F636DB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715BB565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700E19DC" w14:textId="77777777" w:rsidTr="00170F3F">
        <w:tc>
          <w:tcPr>
            <w:tcW w:w="851" w:type="dxa"/>
            <w:vAlign w:val="center"/>
          </w:tcPr>
          <w:p w14:paraId="5EDC9EFA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0CBD60E" w14:textId="116B3E41" w:rsidR="00F25FE8" w:rsidRPr="00B054DC" w:rsidRDefault="00F25FE8" w:rsidP="00F25FE8">
            <w:pPr>
              <w:rPr>
                <w:rFonts w:asciiTheme="minorHAnsi" w:hAnsiTheme="minorHAnsi" w:cstheme="minorHAnsi"/>
                <w:b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Alarmy niezbędne do bezpiecznego prowadzenia terapii.</w:t>
            </w:r>
          </w:p>
        </w:tc>
        <w:tc>
          <w:tcPr>
            <w:tcW w:w="0" w:type="auto"/>
            <w:vAlign w:val="center"/>
          </w:tcPr>
          <w:p w14:paraId="36DFACE1" w14:textId="0D15CD4F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3DF80CC1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7EACFA67" w14:textId="77777777" w:rsidTr="00476772">
        <w:tc>
          <w:tcPr>
            <w:tcW w:w="851" w:type="dxa"/>
            <w:vAlign w:val="center"/>
          </w:tcPr>
          <w:p w14:paraId="6802ED47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355AD69" w14:textId="6380F8D1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Menu w języku polskim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EA6F36" w14:textId="6A7A754D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74B92AD4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5072B9AC" w14:textId="77777777" w:rsidTr="00476772">
        <w:tc>
          <w:tcPr>
            <w:tcW w:w="851" w:type="dxa"/>
            <w:vAlign w:val="center"/>
          </w:tcPr>
          <w:p w14:paraId="4D0F3721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C636CE4" w14:textId="6CBB10C8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Historia pracy obejmująca 3000 wpisów.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54935" w14:textId="60D05F42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BE6630C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532D34F8" w14:textId="77777777" w:rsidTr="00170F3F">
        <w:tc>
          <w:tcPr>
            <w:tcW w:w="851" w:type="dxa"/>
            <w:vAlign w:val="center"/>
          </w:tcPr>
          <w:p w14:paraId="1D6DD97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3D7857" w14:textId="5F7FAB2F" w:rsidR="00F25FE8" w:rsidRPr="00B054DC" w:rsidRDefault="00F25FE8" w:rsidP="00F25FE8">
            <w:pPr>
              <w:rPr>
                <w:rFonts w:asciiTheme="minorHAnsi" w:eastAsiaTheme="minorHAnsi" w:hAnsiTheme="minorHAnsi" w:cstheme="minorHAnsi"/>
                <w:b/>
              </w:rPr>
            </w:pPr>
            <w:r w:rsidRPr="00BF035D">
              <w:rPr>
                <w:rFonts w:asciiTheme="minorHAnsi" w:hAnsiTheme="minorHAnsi" w:cstheme="minorHAnsi"/>
                <w:color w:val="000000"/>
              </w:rPr>
              <w:t>Możliwość współpracy z czytnikiem kodów kreskowych</w:t>
            </w:r>
          </w:p>
        </w:tc>
        <w:tc>
          <w:tcPr>
            <w:tcW w:w="0" w:type="auto"/>
            <w:vAlign w:val="center"/>
          </w:tcPr>
          <w:p w14:paraId="433E529C" w14:textId="34E34310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8F3FC91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54C958AA" w14:textId="77777777" w:rsidTr="00170F3F">
        <w:tc>
          <w:tcPr>
            <w:tcW w:w="851" w:type="dxa"/>
            <w:vAlign w:val="center"/>
          </w:tcPr>
          <w:p w14:paraId="0855F653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D774AA" w14:textId="3FD724E2" w:rsidR="00F25FE8" w:rsidRPr="00B054DC" w:rsidRDefault="00F25FE8" w:rsidP="00F25FE8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miesiące, wg. Zaleceń producenta</w:t>
            </w:r>
          </w:p>
        </w:tc>
        <w:tc>
          <w:tcPr>
            <w:tcW w:w="0" w:type="auto"/>
            <w:vAlign w:val="center"/>
          </w:tcPr>
          <w:p w14:paraId="38A38589" w14:textId="0D909FB9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7446A232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F25FE8" w:rsidRPr="00B054DC" w14:paraId="4EC5AF06" w14:textId="77777777" w:rsidTr="00476772">
        <w:tc>
          <w:tcPr>
            <w:tcW w:w="851" w:type="dxa"/>
            <w:vAlign w:val="center"/>
          </w:tcPr>
          <w:p w14:paraId="4B5B5F61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0B66DC1E" w14:textId="3BAEC0C7" w:rsidR="00F25FE8" w:rsidRPr="00B054DC" w:rsidRDefault="00F25FE8" w:rsidP="00F25FE8">
            <w:pPr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Stacja dokująca kompatybilna z pompami infuzyjnymi</w:t>
            </w:r>
          </w:p>
        </w:tc>
        <w:tc>
          <w:tcPr>
            <w:tcW w:w="0" w:type="auto"/>
          </w:tcPr>
          <w:p w14:paraId="04171024" w14:textId="77777777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6" w:type="dxa"/>
          </w:tcPr>
          <w:p w14:paraId="03D2F31F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2C92F3E5" w14:textId="77777777" w:rsidTr="00476772">
        <w:tc>
          <w:tcPr>
            <w:tcW w:w="851" w:type="dxa"/>
            <w:vAlign w:val="center"/>
          </w:tcPr>
          <w:p w14:paraId="10D84CF4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3A26617E" w14:textId="77777777" w:rsidR="00F25FE8" w:rsidRPr="00205143" w:rsidRDefault="00F25FE8" w:rsidP="00AC0EE8">
            <w:pPr>
              <w:jc w:val="both"/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Stacja dokująca która umożliwia mocowanie na stojakach infuzyjnych i pionowych</w:t>
            </w:r>
          </w:p>
          <w:p w14:paraId="6D76F863" w14:textId="77777777" w:rsidR="00F25FE8" w:rsidRPr="00205143" w:rsidRDefault="00F25FE8" w:rsidP="00AC0EE8">
            <w:pPr>
              <w:jc w:val="both"/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rurach, np. systemach podwieszanych, jak również do poziomych naściennych</w:t>
            </w:r>
          </w:p>
          <w:p w14:paraId="0823D119" w14:textId="77777777" w:rsidR="00F25FE8" w:rsidRPr="00205143" w:rsidRDefault="00F25FE8" w:rsidP="00AC0EE8">
            <w:pPr>
              <w:jc w:val="both"/>
              <w:rPr>
                <w:rFonts w:asciiTheme="minorHAnsi" w:hAnsiTheme="minorHAnsi" w:cstheme="minorHAnsi"/>
              </w:rPr>
            </w:pPr>
            <w:r w:rsidRPr="00205143">
              <w:rPr>
                <w:rFonts w:asciiTheme="minorHAnsi" w:hAnsiTheme="minorHAnsi" w:cstheme="minorHAnsi"/>
              </w:rPr>
              <w:t>systemów prowadnic zgodnie z EN 1789 bez konieczności stosowania dodatkowych</w:t>
            </w:r>
          </w:p>
          <w:p w14:paraId="550CE2F6" w14:textId="61196B8B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205143">
              <w:rPr>
                <w:rFonts w:asciiTheme="minorHAnsi" w:hAnsiTheme="minorHAnsi" w:cstheme="minorHAnsi"/>
              </w:rPr>
              <w:t>adapterów lub akcesoriów montażowych.</w:t>
            </w:r>
          </w:p>
        </w:tc>
        <w:tc>
          <w:tcPr>
            <w:tcW w:w="0" w:type="auto"/>
          </w:tcPr>
          <w:p w14:paraId="6A6BEBA7" w14:textId="004C26B2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93C6246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6E31002" w14:textId="77777777" w:rsidTr="00476772">
        <w:tc>
          <w:tcPr>
            <w:tcW w:w="851" w:type="dxa"/>
            <w:vAlign w:val="center"/>
          </w:tcPr>
          <w:p w14:paraId="7275239B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12E3ED65" w14:textId="273FADEE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DB37CE">
              <w:rPr>
                <w:rFonts w:asciiTheme="minorHAnsi" w:hAnsiTheme="minorHAnsi" w:cstheme="minorHAnsi"/>
                <w:color w:val="000000"/>
              </w:rPr>
              <w:t>Stanowisko pacjenta wyposażone w interfejs do komunikacji z komputerem za pomocą Ethernetu - złącze RJ45. Bez konieczności stosowania dodatkowych kabli np.RS232.</w:t>
            </w:r>
          </w:p>
        </w:tc>
        <w:tc>
          <w:tcPr>
            <w:tcW w:w="0" w:type="auto"/>
          </w:tcPr>
          <w:p w14:paraId="4D16E760" w14:textId="04752DC5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2B723BF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2F45FF2E" w14:textId="77777777" w:rsidTr="00476772">
        <w:tc>
          <w:tcPr>
            <w:tcW w:w="851" w:type="dxa"/>
            <w:vAlign w:val="center"/>
          </w:tcPr>
          <w:p w14:paraId="0FE9EA5C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</w:tcPr>
          <w:p w14:paraId="1BD0766F" w14:textId="510055A8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A47567">
              <w:rPr>
                <w:rFonts w:asciiTheme="minorHAnsi" w:hAnsiTheme="minorHAnsi" w:cstheme="minorHAnsi"/>
                <w:color w:val="000000"/>
              </w:rPr>
              <w:t xml:space="preserve">Stacja dokująca przy każdym stanowisku pacjenta wyposażona w dodatkowy system alarmów wizualnych i akustycznych pozwalających łatwo zidentyfikować stanowisko gdzie jest konieczna interwencja  </w:t>
            </w:r>
          </w:p>
        </w:tc>
        <w:tc>
          <w:tcPr>
            <w:tcW w:w="0" w:type="auto"/>
          </w:tcPr>
          <w:p w14:paraId="275C3DD8" w14:textId="1E698D67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8BD3FD1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E3133EC" w14:textId="77777777" w:rsidTr="00476772">
        <w:tc>
          <w:tcPr>
            <w:tcW w:w="851" w:type="dxa"/>
            <w:vAlign w:val="center"/>
          </w:tcPr>
          <w:p w14:paraId="2B5B61C7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C2CF81" w14:textId="14E2F1D7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>Stacja wypo</w:t>
            </w:r>
            <w:r>
              <w:rPr>
                <w:rFonts w:asciiTheme="minorHAnsi" w:hAnsiTheme="minorHAnsi" w:cstheme="minorHAnsi"/>
                <w:color w:val="000000"/>
              </w:rPr>
              <w:t>s</w:t>
            </w:r>
            <w:r w:rsidRPr="00F410CB">
              <w:rPr>
                <w:rFonts w:asciiTheme="minorHAnsi" w:hAnsiTheme="minorHAnsi" w:cstheme="minorHAnsi"/>
                <w:color w:val="000000"/>
              </w:rPr>
              <w:t>ażona w panel kontrolny, umożliwiający odczytanie statusu akumulatorów oraz sterowanie natężeniem dźwięku.</w:t>
            </w:r>
          </w:p>
        </w:tc>
        <w:tc>
          <w:tcPr>
            <w:tcW w:w="0" w:type="auto"/>
          </w:tcPr>
          <w:p w14:paraId="2B9F7B41" w14:textId="5262580F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0483BF7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70B13F3" w14:textId="77777777" w:rsidTr="00476772">
        <w:tc>
          <w:tcPr>
            <w:tcW w:w="851" w:type="dxa"/>
            <w:vAlign w:val="center"/>
          </w:tcPr>
          <w:p w14:paraId="10A19943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15F7B" w14:textId="6164767B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Możliwość dowolnej konfiguracji  ilości pomp </w:t>
            </w:r>
            <w:proofErr w:type="spellStart"/>
            <w:r w:rsidRPr="00F410CB">
              <w:rPr>
                <w:rFonts w:asciiTheme="minorHAnsi" w:hAnsiTheme="minorHAnsi" w:cstheme="minorHAnsi"/>
                <w:color w:val="000000"/>
              </w:rPr>
              <w:t>strzykawkowych</w:t>
            </w:r>
            <w:proofErr w:type="spellEnd"/>
            <w:r w:rsidRPr="00F410CB">
              <w:rPr>
                <w:rFonts w:asciiTheme="minorHAnsi" w:hAnsiTheme="minorHAnsi" w:cstheme="minorHAnsi"/>
                <w:color w:val="000000"/>
              </w:rPr>
              <w:t xml:space="preserve"> i objętościowych w stacji dokującej przy każdym stanowisku pacjenta </w:t>
            </w:r>
          </w:p>
        </w:tc>
        <w:tc>
          <w:tcPr>
            <w:tcW w:w="0" w:type="auto"/>
          </w:tcPr>
          <w:p w14:paraId="5838B7BE" w14:textId="21D90E7B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2EDC77F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60422A01" w14:textId="77777777" w:rsidTr="00476772">
        <w:tc>
          <w:tcPr>
            <w:tcW w:w="851" w:type="dxa"/>
            <w:vAlign w:val="center"/>
          </w:tcPr>
          <w:p w14:paraId="3316A32A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59DA" w14:textId="6622416B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Mocowanie stacji dokującej do rury pionowej lub poziomej bez dodatkowego oprzyrządowania </w:t>
            </w:r>
          </w:p>
        </w:tc>
        <w:tc>
          <w:tcPr>
            <w:tcW w:w="0" w:type="auto"/>
          </w:tcPr>
          <w:p w14:paraId="3849C0A2" w14:textId="1F0D4A5F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06FE8C9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4AA1C93C" w14:textId="77777777" w:rsidTr="00476772">
        <w:tc>
          <w:tcPr>
            <w:tcW w:w="851" w:type="dxa"/>
            <w:vAlign w:val="center"/>
          </w:tcPr>
          <w:p w14:paraId="6552510A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C86C" w14:textId="4B34A5EC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F410CB">
              <w:rPr>
                <w:rFonts w:asciiTheme="minorHAnsi" w:hAnsiTheme="minorHAnsi" w:cstheme="minorHAnsi"/>
                <w:color w:val="000000"/>
              </w:rPr>
              <w:t xml:space="preserve">Oprócz mocowania uchwyt do przenoszenia modułu  </w:t>
            </w:r>
          </w:p>
        </w:tc>
        <w:tc>
          <w:tcPr>
            <w:tcW w:w="0" w:type="auto"/>
          </w:tcPr>
          <w:p w14:paraId="53449E44" w14:textId="5BEACF24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A78780A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23460E11" w14:textId="77777777" w:rsidTr="00476772">
        <w:tc>
          <w:tcPr>
            <w:tcW w:w="851" w:type="dxa"/>
            <w:vAlign w:val="center"/>
          </w:tcPr>
          <w:p w14:paraId="1871CD9E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9F1ED" w14:textId="3DCE38D5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8A71DA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</w:tcPr>
          <w:p w14:paraId="09F2EE89" w14:textId="5A196D7F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7B5C4A7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1C4DEF68" w14:textId="77777777" w:rsidTr="00476772">
        <w:tc>
          <w:tcPr>
            <w:tcW w:w="851" w:type="dxa"/>
            <w:vAlign w:val="center"/>
          </w:tcPr>
          <w:p w14:paraId="51965C05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50E5A" w14:textId="2B672503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8A71DA">
              <w:rPr>
                <w:rFonts w:asciiTheme="minorHAnsi" w:hAnsiTheme="minorHAnsi" w:cstheme="minorHAnsi"/>
                <w:color w:val="000000"/>
              </w:rPr>
              <w:t>Możliwość rozbudowy stacji dokującej i przystosowanie do maximum</w:t>
            </w:r>
            <w:r w:rsidRPr="008A71D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24</w:t>
            </w:r>
            <w:r w:rsidRPr="008A71DA">
              <w:rPr>
                <w:rFonts w:asciiTheme="minorHAnsi" w:hAnsiTheme="minorHAnsi" w:cstheme="minorHAnsi"/>
                <w:color w:val="000000"/>
              </w:rPr>
              <w:t xml:space="preserve"> pomp na stanowisko.  </w:t>
            </w:r>
          </w:p>
        </w:tc>
        <w:tc>
          <w:tcPr>
            <w:tcW w:w="0" w:type="auto"/>
          </w:tcPr>
          <w:p w14:paraId="2A1440B4" w14:textId="1C8A7DAD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66030118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26560790" w14:textId="77777777" w:rsidTr="00476772">
        <w:tc>
          <w:tcPr>
            <w:tcW w:w="851" w:type="dxa"/>
            <w:vAlign w:val="center"/>
          </w:tcPr>
          <w:p w14:paraId="74E61BA8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FE2AF" w14:textId="2F03B191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color w:val="000000"/>
              </w:rPr>
              <w:t>Gwarancja 24 miesiące wg. Zaleceń producenta.</w:t>
            </w:r>
          </w:p>
        </w:tc>
        <w:tc>
          <w:tcPr>
            <w:tcW w:w="0" w:type="auto"/>
          </w:tcPr>
          <w:p w14:paraId="6E6827B7" w14:textId="080415D7" w:rsidR="00F25FE8" w:rsidRPr="00B054DC" w:rsidRDefault="00F25FE8" w:rsidP="00F25F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2CC89703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F25FE8" w:rsidRPr="00B054DC" w14:paraId="05A4CCC3" w14:textId="77777777" w:rsidTr="00DF0DB8">
        <w:tc>
          <w:tcPr>
            <w:tcW w:w="851" w:type="dxa"/>
            <w:vAlign w:val="center"/>
          </w:tcPr>
          <w:p w14:paraId="4D6CDF00" w14:textId="77777777" w:rsidR="00F25FE8" w:rsidRPr="00B054DC" w:rsidRDefault="00F25FE8" w:rsidP="00F25F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vAlign w:val="center"/>
          </w:tcPr>
          <w:p w14:paraId="64B3EBF9" w14:textId="05217E47" w:rsidR="00F25FE8" w:rsidRPr="00B054DC" w:rsidRDefault="00F25F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>
              <w:rPr>
                <w:rFonts w:asciiTheme="minorHAnsi" w:eastAsiaTheme="minorHAnsi" w:hAnsiTheme="minorHAnsi" w:cstheme="minorHAnsi"/>
                <w:b/>
              </w:rPr>
              <w:t>Pompa infuzyjna objętościowa</w:t>
            </w:r>
            <w:r w:rsidR="0063190B">
              <w:rPr>
                <w:rFonts w:asciiTheme="minorHAnsi" w:eastAsiaTheme="minorHAnsi" w:hAnsiTheme="minorHAnsi" w:cstheme="minorHAnsi"/>
                <w:b/>
              </w:rPr>
              <w:t xml:space="preserve"> kompatybilna </w:t>
            </w:r>
            <w:r w:rsidR="002839B7">
              <w:rPr>
                <w:rFonts w:asciiTheme="minorHAnsi" w:eastAsiaTheme="minorHAnsi" w:hAnsiTheme="minorHAnsi" w:cstheme="minorHAnsi"/>
                <w:b/>
              </w:rPr>
              <w:t>ze stacją dokującą</w:t>
            </w:r>
          </w:p>
        </w:tc>
        <w:tc>
          <w:tcPr>
            <w:tcW w:w="0" w:type="auto"/>
            <w:vAlign w:val="center"/>
          </w:tcPr>
          <w:p w14:paraId="65709BA7" w14:textId="189684DF" w:rsidR="00F25FE8" w:rsidRPr="00B054DC" w:rsidRDefault="002839B7" w:rsidP="00F25FE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C103A99" w14:textId="77777777" w:rsidR="00F25FE8" w:rsidRPr="00B054DC" w:rsidRDefault="00F25FE8" w:rsidP="00F25F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0E8D42AD" w14:textId="77777777" w:rsidTr="003610C5">
        <w:tc>
          <w:tcPr>
            <w:tcW w:w="851" w:type="dxa"/>
            <w:vAlign w:val="center"/>
          </w:tcPr>
          <w:p w14:paraId="1E500BC4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01725" w14:textId="15A252A3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Pompa objętościowa sterowana  elektronicznie, umożliwiająca współpracę z systemem centralnego zasilania i zarządzania danymi, przeznaczona do stosowania u dorosłych, dzieci oraz noworodków w celu okresowego lub ciągłego  podawania leków zalecanych do terapii infuzyjnej, w skład których wchodzą m.in. koloidy i krystaloidy, krew i składniki krwi, płyny używane do całkowitego żywienia pozajelitowego (TPN); lipidy i płyny stosowane w żywieniu dojelitowym.</w:t>
            </w:r>
          </w:p>
        </w:tc>
        <w:tc>
          <w:tcPr>
            <w:tcW w:w="0" w:type="auto"/>
            <w:vAlign w:val="center"/>
          </w:tcPr>
          <w:p w14:paraId="52E4E871" w14:textId="3924A2D4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2B61696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0DF0FA41" w14:textId="77777777" w:rsidTr="003610C5">
        <w:tc>
          <w:tcPr>
            <w:tcW w:w="851" w:type="dxa"/>
            <w:vAlign w:val="center"/>
          </w:tcPr>
          <w:p w14:paraId="5C439394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817F77" w14:textId="0F48E633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Napięcie 11-16 V DC, zasilanie przy użyciu zasilacza zewnętrznego lub Stacji Dokującej </w:t>
            </w:r>
          </w:p>
        </w:tc>
        <w:tc>
          <w:tcPr>
            <w:tcW w:w="0" w:type="auto"/>
            <w:vAlign w:val="center"/>
          </w:tcPr>
          <w:p w14:paraId="2E03C4E2" w14:textId="4D8778B4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61A4E4F8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0C937E4F" w14:textId="77777777" w:rsidTr="005E352A">
        <w:tc>
          <w:tcPr>
            <w:tcW w:w="851" w:type="dxa"/>
            <w:vAlign w:val="center"/>
          </w:tcPr>
          <w:p w14:paraId="70BD4243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3FC74" w14:textId="7AB3E1BB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Dokładność mechaniczna &lt;&lt;±</w:t>
            </w:r>
            <w:r w:rsidRPr="000A2E95">
              <w:rPr>
                <w:rFonts w:asciiTheme="minorHAnsi" w:hAnsiTheme="minorHAnsi" w:cstheme="minorHAnsi"/>
                <w:b/>
                <w:bCs/>
                <w:color w:val="000000"/>
              </w:rPr>
              <w:t>0,5%</w:t>
            </w:r>
          </w:p>
        </w:tc>
        <w:tc>
          <w:tcPr>
            <w:tcW w:w="0" w:type="auto"/>
          </w:tcPr>
          <w:p w14:paraId="5918A835" w14:textId="612E7B7D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21F9F0B1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2D38A29A" w14:textId="77777777" w:rsidTr="003610C5">
        <w:tc>
          <w:tcPr>
            <w:tcW w:w="851" w:type="dxa"/>
            <w:vAlign w:val="center"/>
          </w:tcPr>
          <w:p w14:paraId="11616588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80DB29" w14:textId="61E7AD68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Możliwość podaży preparatów krwiopochodnych </w:t>
            </w:r>
          </w:p>
        </w:tc>
        <w:tc>
          <w:tcPr>
            <w:tcW w:w="0" w:type="auto"/>
            <w:vAlign w:val="center"/>
          </w:tcPr>
          <w:p w14:paraId="4A649C0B" w14:textId="4F444C0B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10C33E45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532E89CB" w14:textId="77777777" w:rsidTr="003610C5">
        <w:tc>
          <w:tcPr>
            <w:tcW w:w="851" w:type="dxa"/>
            <w:vAlign w:val="center"/>
          </w:tcPr>
          <w:p w14:paraId="70C2B6FF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358A8" w14:textId="0FF44CF8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Możliwość podaży żywienia dojelitowego</w:t>
            </w:r>
          </w:p>
        </w:tc>
        <w:tc>
          <w:tcPr>
            <w:tcW w:w="0" w:type="auto"/>
            <w:vAlign w:val="center"/>
          </w:tcPr>
          <w:p w14:paraId="2A9D2755" w14:textId="0A260F7A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69FABCEC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421D6954" w14:textId="77777777" w:rsidTr="003610C5">
        <w:tc>
          <w:tcPr>
            <w:tcW w:w="851" w:type="dxa"/>
            <w:vAlign w:val="center"/>
          </w:tcPr>
          <w:p w14:paraId="3B690557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EB737" w14:textId="2A3985EF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Możliwość podaży </w:t>
            </w:r>
            <w:proofErr w:type="spellStart"/>
            <w:r w:rsidRPr="000A2E95">
              <w:rPr>
                <w:rFonts w:asciiTheme="minorHAnsi" w:hAnsiTheme="minorHAnsi" w:cstheme="minorHAnsi"/>
                <w:color w:val="000000"/>
              </w:rPr>
              <w:t>cytostatyków</w:t>
            </w:r>
            <w:proofErr w:type="spellEnd"/>
            <w:r w:rsidRPr="000A2E95">
              <w:rPr>
                <w:rFonts w:asciiTheme="minorHAnsi" w:hAnsiTheme="minorHAnsi" w:cstheme="minorHAnsi"/>
                <w:color w:val="000000"/>
              </w:rPr>
              <w:t xml:space="preserve"> w układzie zamkniętym zgodnie z definicją NIOSH</w:t>
            </w:r>
          </w:p>
        </w:tc>
        <w:tc>
          <w:tcPr>
            <w:tcW w:w="0" w:type="auto"/>
            <w:vAlign w:val="center"/>
          </w:tcPr>
          <w:p w14:paraId="34C7A64D" w14:textId="712C67C0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6A43B255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5D590544" w14:textId="77777777" w:rsidTr="003610C5">
        <w:tc>
          <w:tcPr>
            <w:tcW w:w="851" w:type="dxa"/>
            <w:vAlign w:val="center"/>
          </w:tcPr>
          <w:p w14:paraId="3BB1E614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45A98" w14:textId="7BD3F25E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Mechanizm zabezpieczający  przed swobodnym  niekontrolowanym przepływem składający się z dwóch elementów – jeden w pompie jeden na drenie. </w:t>
            </w:r>
            <w:r w:rsidRPr="000A2E9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Kolorystyczne kodowanie zacisków szczelinowych </w:t>
            </w:r>
            <w:r w:rsidRPr="000A2E95">
              <w:rPr>
                <w:rFonts w:asciiTheme="minorHAnsi" w:hAnsiTheme="minorHAnsi" w:cstheme="minorHAnsi"/>
                <w:color w:val="000000"/>
              </w:rPr>
              <w:t xml:space="preserve">w zależności od stosowanej terapii. </w:t>
            </w:r>
          </w:p>
        </w:tc>
        <w:tc>
          <w:tcPr>
            <w:tcW w:w="0" w:type="auto"/>
            <w:vAlign w:val="center"/>
          </w:tcPr>
          <w:p w14:paraId="17A43E15" w14:textId="4F9525F0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12EE5C56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55677C2B" w14:textId="77777777" w:rsidTr="003610C5">
        <w:tc>
          <w:tcPr>
            <w:tcW w:w="851" w:type="dxa"/>
            <w:vAlign w:val="center"/>
          </w:tcPr>
          <w:p w14:paraId="3B2BDA1E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B97A1" w14:textId="0D060A78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Zasilanie z akumulatora wewnętrznego min </w:t>
            </w:r>
            <w:r w:rsidRPr="000A2E95">
              <w:rPr>
                <w:rFonts w:asciiTheme="minorHAnsi" w:hAnsiTheme="minorHAnsi" w:cstheme="minorHAnsi"/>
                <w:b/>
                <w:bCs/>
                <w:color w:val="000000"/>
              </w:rPr>
              <w:t>16 h. przy przepływie 25 ml/h. lub 13 h przy przepływie 100ml/h</w:t>
            </w:r>
          </w:p>
        </w:tc>
        <w:tc>
          <w:tcPr>
            <w:tcW w:w="0" w:type="auto"/>
            <w:vAlign w:val="center"/>
          </w:tcPr>
          <w:p w14:paraId="00D4B018" w14:textId="27DD4553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A742976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7A8D7156" w14:textId="77777777" w:rsidTr="003610C5">
        <w:tc>
          <w:tcPr>
            <w:tcW w:w="851" w:type="dxa"/>
            <w:vAlign w:val="center"/>
          </w:tcPr>
          <w:p w14:paraId="7E135D00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3D1F8" w14:textId="3BCC5D0F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Możliwość wymiany akumulatora przez użytkownika bez użycia narzędzi.</w:t>
            </w:r>
          </w:p>
        </w:tc>
        <w:tc>
          <w:tcPr>
            <w:tcW w:w="0" w:type="auto"/>
            <w:vAlign w:val="center"/>
          </w:tcPr>
          <w:p w14:paraId="09FAF26F" w14:textId="6EB95286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7B334FE8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41865C1F" w14:textId="77777777" w:rsidTr="003610C5">
        <w:tc>
          <w:tcPr>
            <w:tcW w:w="851" w:type="dxa"/>
            <w:vAlign w:val="center"/>
          </w:tcPr>
          <w:p w14:paraId="1F41EC67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6DE25" w14:textId="2A1ADC85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Masa pompy ok.</w:t>
            </w:r>
            <w:r w:rsidRPr="000A2E9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1,4 kg</w:t>
            </w:r>
          </w:p>
        </w:tc>
        <w:tc>
          <w:tcPr>
            <w:tcW w:w="0" w:type="auto"/>
            <w:vAlign w:val="center"/>
          </w:tcPr>
          <w:p w14:paraId="6B550A27" w14:textId="569FC28F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38737CC5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23438588" w14:textId="77777777" w:rsidTr="003610C5">
        <w:tc>
          <w:tcPr>
            <w:tcW w:w="851" w:type="dxa"/>
            <w:vAlign w:val="center"/>
          </w:tcPr>
          <w:p w14:paraId="503E50C7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B88A" w14:textId="638AAC83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Wymiary 214 x 68 x 124 mm (szer. x wys. x gł.)</w:t>
            </w:r>
            <w:r w:rsidRPr="000A2E95">
              <w:rPr>
                <w:rFonts w:asciiTheme="minorHAnsi" w:hAnsiTheme="minorHAnsi" w:cstheme="minorHAnsi"/>
                <w:color w:val="000000"/>
              </w:rPr>
              <w:br/>
              <w:t xml:space="preserve">Pompa </w:t>
            </w:r>
            <w:proofErr w:type="spellStart"/>
            <w:r w:rsidRPr="000A2E95">
              <w:rPr>
                <w:rFonts w:asciiTheme="minorHAnsi" w:hAnsiTheme="minorHAnsi" w:cstheme="minorHAnsi"/>
                <w:color w:val="000000"/>
              </w:rPr>
              <w:t>zajmujaca</w:t>
            </w:r>
            <w:proofErr w:type="spellEnd"/>
            <w:r w:rsidRPr="000A2E95">
              <w:rPr>
                <w:rFonts w:asciiTheme="minorHAnsi" w:hAnsiTheme="minorHAnsi" w:cstheme="minorHAnsi"/>
                <w:color w:val="000000"/>
              </w:rPr>
              <w:t xml:space="preserve"> przestrzeń nie większą niż </w:t>
            </w:r>
            <w:r w:rsidRPr="000A2E9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2 500 </w:t>
            </w:r>
            <w:r w:rsidRPr="000A2E95">
              <w:rPr>
                <w:rFonts w:asciiTheme="minorHAnsi" w:hAnsiTheme="minorHAnsi" w:cstheme="minorHAnsi"/>
                <w:color w:val="000000"/>
              </w:rPr>
              <w:t>cm3</w:t>
            </w:r>
          </w:p>
        </w:tc>
        <w:tc>
          <w:tcPr>
            <w:tcW w:w="0" w:type="auto"/>
            <w:vAlign w:val="center"/>
          </w:tcPr>
          <w:p w14:paraId="008D3C3C" w14:textId="49F7C6BC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454C82D2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5ABB7B8D" w14:textId="77777777" w:rsidTr="005E352A">
        <w:tc>
          <w:tcPr>
            <w:tcW w:w="851" w:type="dxa"/>
            <w:vAlign w:val="center"/>
          </w:tcPr>
          <w:p w14:paraId="70667191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CC9A" w14:textId="5A090165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Odłączalny uchwyt do przenoszenia i mocowania pompy do rur i szyn medycznych pionowych i poziomych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FF8EC69" w14:textId="418FEB85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1B926864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68E7F7C7" w14:textId="77777777" w:rsidTr="005E352A">
        <w:tc>
          <w:tcPr>
            <w:tcW w:w="851" w:type="dxa"/>
            <w:vAlign w:val="center"/>
          </w:tcPr>
          <w:p w14:paraId="657FA50A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B6226" w14:textId="2687576F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Możliwość łączenia 2 i 3 pomp w moduły bez użycia stacji dokującej.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12CC4" w14:textId="494B2342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1CBF107B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08C0DAF3" w14:textId="77777777" w:rsidTr="003610C5">
        <w:tc>
          <w:tcPr>
            <w:tcW w:w="851" w:type="dxa"/>
            <w:vAlign w:val="center"/>
          </w:tcPr>
          <w:p w14:paraId="261976DE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1F9DE" w14:textId="31320BB3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Odłączalny uchwyt do przenoszenia zestaw 2 i 3 pomp zasilanych jednym przewodem.</w:t>
            </w:r>
          </w:p>
        </w:tc>
        <w:tc>
          <w:tcPr>
            <w:tcW w:w="0" w:type="auto"/>
            <w:vAlign w:val="center"/>
          </w:tcPr>
          <w:p w14:paraId="130B7D9D" w14:textId="629481ED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ADE99D9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22059C1E" w14:textId="77777777" w:rsidTr="003610C5">
        <w:tc>
          <w:tcPr>
            <w:tcW w:w="851" w:type="dxa"/>
            <w:vAlign w:val="center"/>
          </w:tcPr>
          <w:p w14:paraId="699C49D5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95B01" w14:textId="14E9441C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Podświetlany ekran i przyciski z </w:t>
            </w:r>
            <w:r w:rsidR="00004536" w:rsidRPr="000A2E95">
              <w:rPr>
                <w:rFonts w:asciiTheme="minorHAnsi" w:hAnsiTheme="minorHAnsi" w:cstheme="minorHAnsi"/>
                <w:color w:val="000000"/>
              </w:rPr>
              <w:t>możliwością</w:t>
            </w:r>
            <w:r w:rsidRPr="000A2E95">
              <w:rPr>
                <w:rFonts w:asciiTheme="minorHAnsi" w:hAnsiTheme="minorHAnsi" w:cstheme="minorHAnsi"/>
                <w:color w:val="000000"/>
              </w:rPr>
              <w:t xml:space="preserve"> regulacji na 9 poziomach</w:t>
            </w:r>
          </w:p>
        </w:tc>
        <w:tc>
          <w:tcPr>
            <w:tcW w:w="0" w:type="auto"/>
            <w:vAlign w:val="center"/>
          </w:tcPr>
          <w:p w14:paraId="66B4FB0B" w14:textId="764950F6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480FD25A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3502C45C" w14:textId="77777777" w:rsidTr="005E352A">
        <w:tc>
          <w:tcPr>
            <w:tcW w:w="851" w:type="dxa"/>
            <w:vAlign w:val="center"/>
          </w:tcPr>
          <w:p w14:paraId="4C42E112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155E4" w14:textId="23837595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Regulacja głośności w zakresie od 59dBA do 74dBA na 9 poziomach</w:t>
            </w:r>
          </w:p>
        </w:tc>
        <w:tc>
          <w:tcPr>
            <w:tcW w:w="0" w:type="auto"/>
          </w:tcPr>
          <w:p w14:paraId="6008EA50" w14:textId="77777777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686" w:type="dxa"/>
          </w:tcPr>
          <w:p w14:paraId="5111DAC6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5FD6AAAA" w14:textId="77777777" w:rsidTr="005E352A">
        <w:tc>
          <w:tcPr>
            <w:tcW w:w="851" w:type="dxa"/>
            <w:vAlign w:val="center"/>
          </w:tcPr>
          <w:p w14:paraId="4633BC83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3C52E" w14:textId="05429067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Regulacja jasności i kontrastu ekranu na 9 poziomach</w:t>
            </w:r>
          </w:p>
        </w:tc>
        <w:tc>
          <w:tcPr>
            <w:tcW w:w="0" w:type="auto"/>
          </w:tcPr>
          <w:p w14:paraId="5C405C83" w14:textId="75B3F4D6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C29EF86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58DB12AB" w14:textId="77777777" w:rsidTr="003610C5">
        <w:tc>
          <w:tcPr>
            <w:tcW w:w="851" w:type="dxa"/>
            <w:vAlign w:val="center"/>
          </w:tcPr>
          <w:p w14:paraId="495E246F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886A6" w14:textId="65AA6687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Możliwość programowania parametrów infuzji w mg, </w:t>
            </w:r>
            <w:proofErr w:type="spellStart"/>
            <w:r w:rsidRPr="000A2E95">
              <w:rPr>
                <w:rFonts w:asciiTheme="minorHAnsi" w:hAnsiTheme="minorHAnsi" w:cstheme="minorHAnsi"/>
                <w:color w:val="000000"/>
              </w:rPr>
              <w:t>mcg</w:t>
            </w:r>
            <w:proofErr w:type="spellEnd"/>
            <w:r w:rsidRPr="000A2E95">
              <w:rPr>
                <w:rFonts w:asciiTheme="minorHAnsi" w:hAnsiTheme="minorHAnsi" w:cstheme="minorHAnsi"/>
                <w:color w:val="000000"/>
              </w:rPr>
              <w:t xml:space="preserve">, U lub </w:t>
            </w:r>
            <w:proofErr w:type="spellStart"/>
            <w:r w:rsidRPr="000A2E95">
              <w:rPr>
                <w:rFonts w:asciiTheme="minorHAnsi" w:hAnsiTheme="minorHAnsi" w:cstheme="minorHAnsi"/>
                <w:color w:val="000000"/>
              </w:rPr>
              <w:t>mmol</w:t>
            </w:r>
            <w:proofErr w:type="spellEnd"/>
            <w:r w:rsidRPr="000A2E95">
              <w:rPr>
                <w:rFonts w:asciiTheme="minorHAnsi" w:hAnsiTheme="minorHAnsi" w:cstheme="minorHAnsi"/>
                <w:color w:val="000000"/>
              </w:rPr>
              <w:t xml:space="preserve">,   z uwzględnieniem lub nie masy ciała w odniesieniu do czasu ( np. mg/kg/min; mg/kg/h; mg/kg/24h) </w:t>
            </w:r>
          </w:p>
        </w:tc>
        <w:tc>
          <w:tcPr>
            <w:tcW w:w="0" w:type="auto"/>
            <w:vAlign w:val="center"/>
          </w:tcPr>
          <w:p w14:paraId="4B425D5B" w14:textId="195B7747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C0437BC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12649204" w14:textId="77777777" w:rsidTr="003610C5">
        <w:tc>
          <w:tcPr>
            <w:tcW w:w="851" w:type="dxa"/>
            <w:vAlign w:val="center"/>
          </w:tcPr>
          <w:p w14:paraId="4B34DE84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938CE" w14:textId="552C4233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Zakres prędkości infuzji min. 0,1 do 1 200 ml/h  Prędkość infuzji w zakresie od 0,1 - 99,99ml/h programowana co 0,01ml/godz. </w:t>
            </w:r>
          </w:p>
        </w:tc>
        <w:tc>
          <w:tcPr>
            <w:tcW w:w="0" w:type="auto"/>
            <w:vAlign w:val="center"/>
          </w:tcPr>
          <w:p w14:paraId="0215224A" w14:textId="64FB9EEE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  <w:r>
              <w:rPr>
                <w:rFonts w:asciiTheme="minorHAnsi" w:hAnsiTheme="minorHAnsi" w:cstheme="minorHAnsi"/>
                <w:color w:val="000000"/>
              </w:rPr>
              <w:t>, podać</w:t>
            </w:r>
          </w:p>
        </w:tc>
        <w:tc>
          <w:tcPr>
            <w:tcW w:w="2686" w:type="dxa"/>
          </w:tcPr>
          <w:p w14:paraId="7FD11020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7236C92D" w14:textId="77777777" w:rsidTr="00D04A3F">
        <w:tc>
          <w:tcPr>
            <w:tcW w:w="851" w:type="dxa"/>
            <w:vAlign w:val="center"/>
          </w:tcPr>
          <w:p w14:paraId="37426DB5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792D2" w14:textId="1DF493B8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Funkcja programowania objętości do podania (VTBD) min. 9999 ml. </w:t>
            </w:r>
          </w:p>
        </w:tc>
        <w:tc>
          <w:tcPr>
            <w:tcW w:w="0" w:type="auto"/>
          </w:tcPr>
          <w:p w14:paraId="28484281" w14:textId="240CFCE2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772C1BE3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18CFCEBB" w14:textId="77777777" w:rsidTr="003610C5">
        <w:tc>
          <w:tcPr>
            <w:tcW w:w="851" w:type="dxa"/>
            <w:vAlign w:val="center"/>
          </w:tcPr>
          <w:p w14:paraId="3AD0AAF9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BF463" w14:textId="4AD3B09E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Zmiana szybkości infuzji bez konieczności przerywania wlewu. </w:t>
            </w:r>
          </w:p>
        </w:tc>
        <w:tc>
          <w:tcPr>
            <w:tcW w:w="0" w:type="auto"/>
            <w:vAlign w:val="center"/>
          </w:tcPr>
          <w:p w14:paraId="011B6351" w14:textId="214E3D93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12BDDCE4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1D754AC9" w14:textId="77777777" w:rsidTr="003610C5">
        <w:tc>
          <w:tcPr>
            <w:tcW w:w="851" w:type="dxa"/>
            <w:vAlign w:val="center"/>
          </w:tcPr>
          <w:p w14:paraId="773A87E0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9DD1" w14:textId="362B6EC6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Wypełnienie drenu ze stale widoczną na ekranie i możliwą do kontrolowania  informacją o przetoczonej objętości </w:t>
            </w:r>
          </w:p>
        </w:tc>
        <w:tc>
          <w:tcPr>
            <w:tcW w:w="0" w:type="auto"/>
            <w:vAlign w:val="center"/>
          </w:tcPr>
          <w:p w14:paraId="70621957" w14:textId="519CF137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7E730434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5C7E9AFF" w14:textId="77777777" w:rsidTr="003610C5">
        <w:tc>
          <w:tcPr>
            <w:tcW w:w="851" w:type="dxa"/>
            <w:vAlign w:val="center"/>
          </w:tcPr>
          <w:p w14:paraId="37C2B94B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B3588" w14:textId="3B455F72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Możliwość utworzenia </w:t>
            </w:r>
            <w:r w:rsidRPr="000A2E9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Bazy Leków </w:t>
            </w:r>
            <w:r w:rsidRPr="000A2E95">
              <w:rPr>
                <w:rFonts w:asciiTheme="minorHAnsi" w:hAnsiTheme="minorHAnsi" w:cstheme="minorHAnsi"/>
                <w:color w:val="000000"/>
              </w:rPr>
              <w:t xml:space="preserve">używanych w </w:t>
            </w:r>
            <w:proofErr w:type="spellStart"/>
            <w:r w:rsidRPr="000A2E95">
              <w:rPr>
                <w:rFonts w:asciiTheme="minorHAnsi" w:hAnsiTheme="minorHAnsi" w:cstheme="minorHAnsi"/>
                <w:color w:val="000000"/>
              </w:rPr>
              <w:t>infuzjoterapii</w:t>
            </w:r>
            <w:proofErr w:type="spellEnd"/>
            <w:r w:rsidRPr="000A2E95">
              <w:rPr>
                <w:rFonts w:asciiTheme="minorHAnsi" w:hAnsiTheme="minorHAnsi" w:cstheme="minorHAnsi"/>
                <w:color w:val="000000"/>
              </w:rPr>
              <w:t xml:space="preserve"> na terenie szpitala  z możliwością zastosowania oprogramowania do tworzenia Bibliotek Leków na poszczególne oddziały.</w:t>
            </w:r>
          </w:p>
        </w:tc>
        <w:tc>
          <w:tcPr>
            <w:tcW w:w="0" w:type="auto"/>
            <w:vAlign w:val="center"/>
          </w:tcPr>
          <w:p w14:paraId="14518098" w14:textId="0CDEA965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15BF0710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640FDD86" w14:textId="77777777" w:rsidTr="003610C5">
        <w:tc>
          <w:tcPr>
            <w:tcW w:w="851" w:type="dxa"/>
            <w:vAlign w:val="center"/>
          </w:tcPr>
          <w:p w14:paraId="000D0C98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8E289" w14:textId="6F6B771F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Możliwość skonfigurowania do 50 oddziałów w jednej pompie.</w:t>
            </w:r>
          </w:p>
        </w:tc>
        <w:tc>
          <w:tcPr>
            <w:tcW w:w="0" w:type="auto"/>
            <w:vAlign w:val="center"/>
          </w:tcPr>
          <w:p w14:paraId="5D0767E7" w14:textId="55153612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0029F104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3F08F3AF" w14:textId="77777777" w:rsidTr="003610C5">
        <w:tc>
          <w:tcPr>
            <w:tcW w:w="851" w:type="dxa"/>
            <w:vAlign w:val="center"/>
          </w:tcPr>
          <w:p w14:paraId="4B1E71B2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C8D0F" w14:textId="08C5D0E2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</w:rPr>
              <w:t xml:space="preserve">Biblioteka Leków zawierająca 1 200  leków z możliwością podzielenia na min. 30 grup.  </w:t>
            </w:r>
          </w:p>
        </w:tc>
        <w:tc>
          <w:tcPr>
            <w:tcW w:w="0" w:type="auto"/>
            <w:vAlign w:val="center"/>
          </w:tcPr>
          <w:p w14:paraId="18BC58A9" w14:textId="29C83B17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CA20791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69FC2DF0" w14:textId="77777777" w:rsidTr="003610C5">
        <w:tc>
          <w:tcPr>
            <w:tcW w:w="851" w:type="dxa"/>
            <w:vAlign w:val="center"/>
          </w:tcPr>
          <w:p w14:paraId="55794848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6C57A" w14:textId="27EB21E1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</w:rPr>
              <w:t>Biblioteka leków zawierająca po 10 stężeń dla każdego leku.</w:t>
            </w:r>
          </w:p>
        </w:tc>
        <w:tc>
          <w:tcPr>
            <w:tcW w:w="0" w:type="auto"/>
            <w:vAlign w:val="center"/>
          </w:tcPr>
          <w:p w14:paraId="5262B28F" w14:textId="018FA013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F68FE9A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5E551F62" w14:textId="77777777" w:rsidTr="003610C5">
        <w:tc>
          <w:tcPr>
            <w:tcW w:w="851" w:type="dxa"/>
            <w:vAlign w:val="center"/>
          </w:tcPr>
          <w:p w14:paraId="0A7B41C8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75738" w14:textId="027F7BED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</w:rPr>
              <w:t xml:space="preserve">Leki zawarte w Bibliotece Leków powiązane z parametrami infuzji (limity względne </w:t>
            </w:r>
            <w:proofErr w:type="spellStart"/>
            <w:r w:rsidRPr="000A2E95">
              <w:rPr>
                <w:rFonts w:asciiTheme="minorHAnsi" w:hAnsiTheme="minorHAnsi" w:cstheme="minorHAnsi"/>
              </w:rPr>
              <w:t>min-max;limity</w:t>
            </w:r>
            <w:proofErr w:type="spellEnd"/>
            <w:r w:rsidRPr="000A2E95">
              <w:rPr>
                <w:rFonts w:asciiTheme="minorHAnsi" w:hAnsiTheme="minorHAnsi" w:cstheme="minorHAnsi"/>
              </w:rPr>
              <w:t xml:space="preserve"> bezwzględne min-max, parametry standardowe), możliwość wyświetlania naprzemiennego nazwy leku i/lub wybranych parametrów infuzji. </w:t>
            </w:r>
          </w:p>
        </w:tc>
        <w:tc>
          <w:tcPr>
            <w:tcW w:w="0" w:type="auto"/>
            <w:vAlign w:val="center"/>
          </w:tcPr>
          <w:p w14:paraId="09F9D6B7" w14:textId="7DFCADA6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50AED603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3A61AD19" w14:textId="77777777" w:rsidTr="003610C5">
        <w:tc>
          <w:tcPr>
            <w:tcW w:w="851" w:type="dxa"/>
            <w:vAlign w:val="center"/>
          </w:tcPr>
          <w:p w14:paraId="02A1DAD5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4C3E5" w14:textId="6FC1D5A3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</w:rPr>
              <w:t>Automatyczne prowadzenie infuzji dołączanej (</w:t>
            </w:r>
            <w:proofErr w:type="spellStart"/>
            <w:r w:rsidRPr="000A2E95">
              <w:rPr>
                <w:rFonts w:asciiTheme="minorHAnsi" w:hAnsiTheme="minorHAnsi" w:cstheme="minorHAnsi"/>
              </w:rPr>
              <w:t>piggyback</w:t>
            </w:r>
            <w:proofErr w:type="spellEnd"/>
            <w:r w:rsidRPr="000A2E95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0" w:type="auto"/>
            <w:vAlign w:val="center"/>
          </w:tcPr>
          <w:p w14:paraId="4CEBE99B" w14:textId="619EB4B6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116DBFBF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3E4030C8" w14:textId="77777777" w:rsidTr="00D04A3F">
        <w:tc>
          <w:tcPr>
            <w:tcW w:w="851" w:type="dxa"/>
            <w:vAlign w:val="center"/>
          </w:tcPr>
          <w:p w14:paraId="4FB24AED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47E2" w14:textId="7A2DC44D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</w:rPr>
              <w:t>Automatyczne prowadzenie infuzji przy stopniowym wzroście i spadku prędkości. Infuzja składa się z trzech faz: wzrostu, utrzymania i spadku.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45F5E27" w14:textId="208795CB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29ABC8B9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74E0735E" w14:textId="77777777" w:rsidTr="003610C5">
        <w:tc>
          <w:tcPr>
            <w:tcW w:w="851" w:type="dxa"/>
            <w:vAlign w:val="center"/>
          </w:tcPr>
          <w:p w14:paraId="5A88E0D6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647D6" w14:textId="0A591EE4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</w:rPr>
              <w:t>Automatyczne prowadzenie infuzji w trybie programowanym, z możliwością zaprogramowania 12 faz. Każda faza o określonych parametrach takich jak prędkość, czas, objętość</w:t>
            </w:r>
          </w:p>
        </w:tc>
        <w:tc>
          <w:tcPr>
            <w:tcW w:w="0" w:type="auto"/>
            <w:vAlign w:val="center"/>
          </w:tcPr>
          <w:p w14:paraId="679EAB44" w14:textId="2EE87B37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D1D3754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38DA7372" w14:textId="77777777" w:rsidTr="003610C5">
        <w:tc>
          <w:tcPr>
            <w:tcW w:w="851" w:type="dxa"/>
            <w:vAlign w:val="center"/>
          </w:tcPr>
          <w:p w14:paraId="61B6E5E4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E48B3" w14:textId="1802D684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</w:rPr>
              <w:t>Automatyczne prowadzenie terapii dawka w czasie. Po wprowadzeniu parametrów dawki i czasu pompa automatycznie obliczy prędkość infuzji.</w:t>
            </w:r>
          </w:p>
        </w:tc>
        <w:tc>
          <w:tcPr>
            <w:tcW w:w="0" w:type="auto"/>
            <w:vAlign w:val="center"/>
          </w:tcPr>
          <w:p w14:paraId="1357D1F2" w14:textId="27CBC7A5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2B1DFF5E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AC0EE8" w:rsidRPr="00B054DC" w14:paraId="7FC18DF1" w14:textId="77777777" w:rsidTr="00D04A3F">
        <w:tc>
          <w:tcPr>
            <w:tcW w:w="851" w:type="dxa"/>
            <w:vAlign w:val="center"/>
          </w:tcPr>
          <w:p w14:paraId="20B8D322" w14:textId="77777777" w:rsidR="00AC0EE8" w:rsidRPr="00B054DC" w:rsidRDefault="00AC0EE8" w:rsidP="00AC0EE8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88C13" w14:textId="63F6C78C" w:rsidR="00AC0EE8" w:rsidRPr="000A2E95" w:rsidRDefault="00AC0EE8" w:rsidP="00AC0EE8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Bolus o określonej  objętości . Bolus podawany na żądanie .Maksymalna objętość bolusa po alarmie okluzji ≤0,2ml </w:t>
            </w:r>
          </w:p>
        </w:tc>
        <w:tc>
          <w:tcPr>
            <w:tcW w:w="0" w:type="auto"/>
          </w:tcPr>
          <w:p w14:paraId="2A72B51B" w14:textId="4FB6D68A" w:rsidR="00AC0EE8" w:rsidRPr="00B054DC" w:rsidRDefault="00AC0EE8" w:rsidP="00AC0EE8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D9A9E8F" w14:textId="77777777" w:rsidR="00AC0EE8" w:rsidRPr="00B054DC" w:rsidRDefault="00AC0EE8" w:rsidP="00AC0EE8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2DAC5C14" w14:textId="77777777" w:rsidTr="003610C5">
        <w:tc>
          <w:tcPr>
            <w:tcW w:w="851" w:type="dxa"/>
            <w:vAlign w:val="center"/>
          </w:tcPr>
          <w:p w14:paraId="10516C8F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E770E" w14:textId="0D522266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Możliwość precyzyjnej podaży z lub bez czujnika kropli. </w:t>
            </w:r>
          </w:p>
        </w:tc>
        <w:tc>
          <w:tcPr>
            <w:tcW w:w="0" w:type="auto"/>
            <w:vAlign w:val="center"/>
          </w:tcPr>
          <w:p w14:paraId="0BEA040B" w14:textId="2396486F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2BA9D710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3DA1E336" w14:textId="77777777" w:rsidTr="00397079">
        <w:tc>
          <w:tcPr>
            <w:tcW w:w="851" w:type="dxa"/>
            <w:vAlign w:val="center"/>
          </w:tcPr>
          <w:p w14:paraId="7A9CD57C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6FBA4" w14:textId="142A7B7C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Prezentacja ciągłego pomiaru ciśnienia w linii w formie graficznej </w:t>
            </w:r>
          </w:p>
        </w:tc>
        <w:tc>
          <w:tcPr>
            <w:tcW w:w="0" w:type="auto"/>
          </w:tcPr>
          <w:p w14:paraId="1FE0BDB0" w14:textId="6CA0673E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0BD9CD33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4A66B132" w14:textId="77777777" w:rsidTr="003610C5">
        <w:tc>
          <w:tcPr>
            <w:tcW w:w="851" w:type="dxa"/>
            <w:vAlign w:val="center"/>
          </w:tcPr>
          <w:p w14:paraId="0696659D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E717" w14:textId="3CCFF965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Akustyczno-optyczny system alarmów i ostrzeżeń .</w:t>
            </w:r>
          </w:p>
        </w:tc>
        <w:tc>
          <w:tcPr>
            <w:tcW w:w="0" w:type="auto"/>
            <w:vAlign w:val="center"/>
          </w:tcPr>
          <w:p w14:paraId="66E239E4" w14:textId="60A5B9C5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0FD3C62F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42BB73BD" w14:textId="77777777" w:rsidTr="003610C5">
        <w:tc>
          <w:tcPr>
            <w:tcW w:w="851" w:type="dxa"/>
            <w:vAlign w:val="center"/>
          </w:tcPr>
          <w:p w14:paraId="60A8A6E0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6C5CD" w14:textId="119F7E1F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Menu w języku polskim </w:t>
            </w:r>
          </w:p>
        </w:tc>
        <w:tc>
          <w:tcPr>
            <w:tcW w:w="0" w:type="auto"/>
            <w:vAlign w:val="center"/>
          </w:tcPr>
          <w:p w14:paraId="21AF2EEE" w14:textId="50D4AB55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58A811B0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13B1760D" w14:textId="77777777" w:rsidTr="003610C5">
        <w:tc>
          <w:tcPr>
            <w:tcW w:w="851" w:type="dxa"/>
            <w:vAlign w:val="center"/>
          </w:tcPr>
          <w:p w14:paraId="2C53FB98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7B935" w14:textId="2EB62A5A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Funkcja programowania objętości do podania (VTBD) 0,1- 9999 ml</w:t>
            </w:r>
          </w:p>
        </w:tc>
        <w:tc>
          <w:tcPr>
            <w:tcW w:w="0" w:type="auto"/>
            <w:vAlign w:val="center"/>
          </w:tcPr>
          <w:p w14:paraId="50B8E891" w14:textId="09BDC3E2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60BED2FF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62EA7D85" w14:textId="77777777" w:rsidTr="003610C5">
        <w:tc>
          <w:tcPr>
            <w:tcW w:w="851" w:type="dxa"/>
            <w:vAlign w:val="center"/>
          </w:tcPr>
          <w:p w14:paraId="1A0A9C67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EE06E" w14:textId="1D83964A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Funkcja programowania czasu infuzji przynajmniej od 1min –</w:t>
            </w:r>
            <w:r w:rsidRPr="000A2E95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99:59</w:t>
            </w:r>
            <w:r w:rsidRPr="000A2E95">
              <w:rPr>
                <w:rFonts w:asciiTheme="minorHAnsi" w:hAnsiTheme="minorHAnsi" w:cstheme="minorHAnsi"/>
                <w:color w:val="000000"/>
              </w:rPr>
              <w:t xml:space="preserve"> godzin</w:t>
            </w:r>
          </w:p>
        </w:tc>
        <w:tc>
          <w:tcPr>
            <w:tcW w:w="0" w:type="auto"/>
            <w:vAlign w:val="center"/>
          </w:tcPr>
          <w:p w14:paraId="4F949A9A" w14:textId="50106D13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2686" w:type="dxa"/>
          </w:tcPr>
          <w:p w14:paraId="12FBDA18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11832724" w14:textId="77777777" w:rsidTr="003610C5">
        <w:tc>
          <w:tcPr>
            <w:tcW w:w="851" w:type="dxa"/>
            <w:vAlign w:val="center"/>
          </w:tcPr>
          <w:p w14:paraId="58DE3700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0D31D" w14:textId="5C295552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Możliwość łączenia pomp w moduły bez użycia stacji dokującej - 3 pompy. </w:t>
            </w:r>
          </w:p>
        </w:tc>
        <w:tc>
          <w:tcPr>
            <w:tcW w:w="0" w:type="auto"/>
            <w:vAlign w:val="center"/>
          </w:tcPr>
          <w:p w14:paraId="34DFF0C1" w14:textId="21353FAE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0E23E133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6FCF158B" w14:textId="77777777" w:rsidTr="003610C5">
        <w:tc>
          <w:tcPr>
            <w:tcW w:w="851" w:type="dxa"/>
            <w:vAlign w:val="center"/>
          </w:tcPr>
          <w:p w14:paraId="751FDAEC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E843F" w14:textId="7AE3D831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Możliwość opcjonalnego rozszerzenia oprogramowania pompy o tryb PCA i PCEA </w:t>
            </w:r>
          </w:p>
        </w:tc>
        <w:tc>
          <w:tcPr>
            <w:tcW w:w="0" w:type="auto"/>
            <w:vAlign w:val="center"/>
          </w:tcPr>
          <w:p w14:paraId="47C4501C" w14:textId="2011B2A9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5142193D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1A1D6DFB" w14:textId="77777777" w:rsidTr="003610C5">
        <w:tc>
          <w:tcPr>
            <w:tcW w:w="851" w:type="dxa"/>
            <w:vAlign w:val="center"/>
          </w:tcPr>
          <w:p w14:paraId="3F6F4705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45705" w14:textId="11E9B87B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Zakres ciśnienia okluzji od 225 mmHg do 900mmHg, z wyborem na 9 poziomach.</w:t>
            </w:r>
          </w:p>
        </w:tc>
        <w:tc>
          <w:tcPr>
            <w:tcW w:w="0" w:type="auto"/>
            <w:vAlign w:val="center"/>
          </w:tcPr>
          <w:p w14:paraId="608B2A3D" w14:textId="61FFB5AA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55E054AE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2884BEEB" w14:textId="77777777" w:rsidTr="00397079">
        <w:tc>
          <w:tcPr>
            <w:tcW w:w="851" w:type="dxa"/>
            <w:vAlign w:val="center"/>
          </w:tcPr>
          <w:p w14:paraId="05FBDC30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AC4A0" w14:textId="785D98DC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Czułość techniczna – wykrywanie pojedynczych pęcherzyków powietrza &gt;/_ 0,01 ml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607E4" w14:textId="702687F7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5B98088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792460BE" w14:textId="77777777" w:rsidTr="003610C5">
        <w:tc>
          <w:tcPr>
            <w:tcW w:w="851" w:type="dxa"/>
            <w:vAlign w:val="center"/>
          </w:tcPr>
          <w:p w14:paraId="079D0B3A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C458FC" w14:textId="39BE1DD8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 xml:space="preserve">Komunikacja pomp umieszczonych w stacji dokującej/stanowisko pacjenta z komputerem poprzez Ethernet - złącze </w:t>
            </w:r>
            <w:r w:rsidRPr="000A2E95">
              <w:rPr>
                <w:rFonts w:asciiTheme="minorHAnsi" w:hAnsiTheme="minorHAnsi" w:cstheme="minorHAnsi"/>
                <w:b/>
                <w:bCs/>
                <w:color w:val="000000"/>
              </w:rPr>
              <w:t>RJ45</w:t>
            </w:r>
            <w:r w:rsidRPr="000A2E95">
              <w:rPr>
                <w:rFonts w:asciiTheme="minorHAnsi" w:hAnsiTheme="minorHAnsi" w:cstheme="minorHAnsi"/>
                <w:color w:val="000000"/>
              </w:rPr>
              <w:t>. Bez konieczności stosowania dodatkowych kabli np.RS232.</w:t>
            </w:r>
          </w:p>
        </w:tc>
        <w:tc>
          <w:tcPr>
            <w:tcW w:w="0" w:type="auto"/>
            <w:vAlign w:val="center"/>
          </w:tcPr>
          <w:p w14:paraId="3D9675C4" w14:textId="113AF4F0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5030BF36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36A58E62" w14:textId="77777777" w:rsidTr="003610C5">
        <w:tc>
          <w:tcPr>
            <w:tcW w:w="851" w:type="dxa"/>
            <w:vAlign w:val="center"/>
          </w:tcPr>
          <w:p w14:paraId="03A048F8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13F5" w14:textId="482FDCF0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W przypadku niewłaściwej dawki 1,4 ml spowodowanej niepoprawnym działaniem urządzenia, pompa wyłączy się automatycznie.</w:t>
            </w:r>
          </w:p>
        </w:tc>
        <w:tc>
          <w:tcPr>
            <w:tcW w:w="0" w:type="auto"/>
            <w:vAlign w:val="center"/>
          </w:tcPr>
          <w:p w14:paraId="4B366AE1" w14:textId="1DD34560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TAK, podać</w:t>
            </w:r>
          </w:p>
        </w:tc>
        <w:tc>
          <w:tcPr>
            <w:tcW w:w="2686" w:type="dxa"/>
          </w:tcPr>
          <w:p w14:paraId="01AF2185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134FFCAE" w14:textId="77777777" w:rsidTr="00397079">
        <w:tc>
          <w:tcPr>
            <w:tcW w:w="851" w:type="dxa"/>
            <w:vAlign w:val="center"/>
          </w:tcPr>
          <w:p w14:paraId="08541FBF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29A36" w14:textId="64C944F1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/>
              </w:rPr>
            </w:pPr>
            <w:r w:rsidRPr="000A2E95">
              <w:rPr>
                <w:rFonts w:asciiTheme="minorHAnsi" w:hAnsiTheme="minorHAnsi" w:cstheme="minorHAnsi"/>
                <w:color w:val="000000"/>
              </w:rPr>
              <w:t>Alarmy niezbędne do bezpiecznego prowadzenia terapii.</w:t>
            </w:r>
          </w:p>
        </w:tc>
        <w:tc>
          <w:tcPr>
            <w:tcW w:w="0" w:type="auto"/>
          </w:tcPr>
          <w:p w14:paraId="61F2C974" w14:textId="45BE7AA1" w:rsidR="000D079A" w:rsidRPr="00B054DC" w:rsidRDefault="00004536" w:rsidP="000D079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3A275E0D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  <w:tr w:rsidR="000D079A" w:rsidRPr="00B054DC" w14:paraId="4CFF1909" w14:textId="77777777" w:rsidTr="00397079">
        <w:tc>
          <w:tcPr>
            <w:tcW w:w="851" w:type="dxa"/>
            <w:vAlign w:val="center"/>
          </w:tcPr>
          <w:p w14:paraId="5C49CE21" w14:textId="77777777" w:rsidR="000D079A" w:rsidRPr="00B054DC" w:rsidRDefault="000D079A" w:rsidP="000D079A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  <w:tc>
          <w:tcPr>
            <w:tcW w:w="5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5AF3E" w14:textId="1C163187" w:rsidR="000D079A" w:rsidRPr="000A2E95" w:rsidRDefault="000D079A" w:rsidP="000D079A">
            <w:pPr>
              <w:jc w:val="both"/>
              <w:rPr>
                <w:rFonts w:asciiTheme="minorHAnsi" w:eastAsiaTheme="minorHAnsi" w:hAnsiTheme="minorHAnsi" w:cstheme="minorHAnsi"/>
                <w:bCs/>
              </w:rPr>
            </w:pPr>
            <w:r w:rsidRPr="000A2E95">
              <w:rPr>
                <w:rFonts w:asciiTheme="minorHAnsi" w:eastAsiaTheme="minorHAnsi" w:hAnsiTheme="minorHAnsi" w:cstheme="minorHAnsi"/>
                <w:bCs/>
              </w:rPr>
              <w:t>Gwarancja 24 miesiące wg. Zaleceń producenta.</w:t>
            </w:r>
          </w:p>
        </w:tc>
        <w:tc>
          <w:tcPr>
            <w:tcW w:w="0" w:type="auto"/>
          </w:tcPr>
          <w:p w14:paraId="3BD09C8A" w14:textId="5A8B87E8" w:rsidR="000D079A" w:rsidRPr="00B054DC" w:rsidRDefault="000D079A" w:rsidP="000D079A">
            <w:pPr>
              <w:rPr>
                <w:rFonts w:asciiTheme="minorHAnsi" w:hAnsiTheme="minorHAnsi" w:cstheme="minorHAnsi"/>
                <w:color w:val="000000"/>
              </w:rPr>
            </w:pPr>
            <w:r w:rsidRPr="00B054DC">
              <w:rPr>
                <w:rFonts w:asciiTheme="minorHAnsi" w:hAnsiTheme="minorHAnsi" w:cstheme="minorHAnsi"/>
                <w:color w:val="000000"/>
              </w:rPr>
              <w:t>TAK</w:t>
            </w:r>
          </w:p>
        </w:tc>
        <w:tc>
          <w:tcPr>
            <w:tcW w:w="2686" w:type="dxa"/>
          </w:tcPr>
          <w:p w14:paraId="4D122AC1" w14:textId="77777777" w:rsidR="000D079A" w:rsidRPr="00B054DC" w:rsidRDefault="000D079A" w:rsidP="000D079A">
            <w:pPr>
              <w:rPr>
                <w:rFonts w:asciiTheme="minorHAnsi" w:hAnsiTheme="minorHAnsi" w:cstheme="minorHAnsi"/>
              </w:rPr>
            </w:pPr>
          </w:p>
        </w:tc>
      </w:tr>
    </w:tbl>
    <w:p w14:paraId="71704FD3" w14:textId="77777777" w:rsidR="0041319C" w:rsidRPr="00B054DC" w:rsidRDefault="0041319C" w:rsidP="00B1646D">
      <w:pPr>
        <w:spacing w:after="0"/>
        <w:rPr>
          <w:rFonts w:asciiTheme="minorHAnsi" w:hAnsiTheme="minorHAnsi" w:cstheme="minorHAnsi"/>
        </w:rPr>
      </w:pPr>
    </w:p>
    <w:p w14:paraId="7CB33E85" w14:textId="77777777" w:rsidR="0041319C" w:rsidRPr="00B054DC" w:rsidRDefault="0041319C" w:rsidP="0041319C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Powyższe warunki graniczne stanowią wymagania odcinające. Nie spełnienie nawet jednego z w/w</w:t>
      </w:r>
    </w:p>
    <w:p w14:paraId="037271AD" w14:textId="77777777" w:rsidR="0041319C" w:rsidRPr="00B054DC" w:rsidRDefault="0041319C" w:rsidP="0041319C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wymagań spowoduje odrzucenie oferty.</w:t>
      </w:r>
    </w:p>
    <w:p w14:paraId="587FA8FA" w14:textId="77777777" w:rsidR="0041319C" w:rsidRPr="00B054DC" w:rsidRDefault="0041319C" w:rsidP="0041319C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 xml:space="preserve">Oferowane urządzenie o wyspecyfikowanych parametrach ma być kompletne i po dostawie gotowe </w:t>
      </w:r>
    </w:p>
    <w:p w14:paraId="34826253" w14:textId="77777777" w:rsidR="0041319C" w:rsidRPr="00B054DC" w:rsidRDefault="0041319C" w:rsidP="0041319C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do pracy zgodnie z przeznaczeniem bez dodatkowych zakupów</w:t>
      </w:r>
    </w:p>
    <w:p w14:paraId="0902EC63" w14:textId="77777777" w:rsidR="00127C8B" w:rsidRDefault="00127C8B">
      <w:pPr>
        <w:rPr>
          <w:rFonts w:asciiTheme="minorHAnsi" w:hAnsiTheme="minorHAnsi" w:cstheme="minorHAnsi"/>
        </w:rPr>
      </w:pPr>
    </w:p>
    <w:p w14:paraId="50334A76" w14:textId="77777777" w:rsidR="00127C8B" w:rsidRPr="00B054DC" w:rsidRDefault="00127C8B" w:rsidP="00127C8B">
      <w:pPr>
        <w:spacing w:after="0"/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Data……………………….</w:t>
      </w:r>
    </w:p>
    <w:p w14:paraId="5ABC690E" w14:textId="77777777" w:rsidR="00127C8B" w:rsidRPr="00B054DC" w:rsidRDefault="00127C8B" w:rsidP="00127C8B">
      <w:pPr>
        <w:spacing w:after="0"/>
        <w:rPr>
          <w:rFonts w:asciiTheme="minorHAnsi" w:hAnsiTheme="minorHAnsi" w:cstheme="minorHAnsi"/>
        </w:rPr>
      </w:pPr>
    </w:p>
    <w:p w14:paraId="09173646" w14:textId="77777777" w:rsidR="00127C8B" w:rsidRPr="00B054DC" w:rsidRDefault="00127C8B" w:rsidP="00127C8B">
      <w:pPr>
        <w:rPr>
          <w:rFonts w:asciiTheme="minorHAnsi" w:hAnsiTheme="minorHAnsi" w:cstheme="minorHAnsi"/>
        </w:rPr>
      </w:pPr>
      <w:r w:rsidRPr="00B054DC">
        <w:rPr>
          <w:rFonts w:asciiTheme="minorHAnsi" w:hAnsiTheme="minorHAnsi" w:cstheme="minorHAnsi"/>
        </w:rPr>
        <w:t>Podpis……………………</w:t>
      </w:r>
    </w:p>
    <w:p w14:paraId="5A89DC64" w14:textId="3DC13023" w:rsidR="0041319C" w:rsidRPr="00B054DC" w:rsidRDefault="0041319C">
      <w:pPr>
        <w:rPr>
          <w:rFonts w:asciiTheme="minorHAnsi" w:hAnsiTheme="minorHAnsi" w:cstheme="minorHAnsi"/>
        </w:rPr>
      </w:pPr>
      <w:bookmarkStart w:id="2" w:name="_GoBack"/>
      <w:bookmarkEnd w:id="2"/>
    </w:p>
    <w:sectPr w:rsidR="0041319C" w:rsidRPr="00B054DC" w:rsidSect="000174C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73CE"/>
    <w:multiLevelType w:val="hybridMultilevel"/>
    <w:tmpl w:val="D5E08A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13A"/>
    <w:multiLevelType w:val="hybridMultilevel"/>
    <w:tmpl w:val="04B870E6"/>
    <w:lvl w:ilvl="0" w:tplc="867854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61395"/>
    <w:multiLevelType w:val="hybridMultilevel"/>
    <w:tmpl w:val="E75AF77A"/>
    <w:lvl w:ilvl="0" w:tplc="558AE4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E440F"/>
    <w:multiLevelType w:val="hybridMultilevel"/>
    <w:tmpl w:val="7E24B2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B3703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41885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6548E"/>
    <w:multiLevelType w:val="hybridMultilevel"/>
    <w:tmpl w:val="70A6F6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8702D"/>
    <w:multiLevelType w:val="hybridMultilevel"/>
    <w:tmpl w:val="A73E7B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C2456"/>
    <w:multiLevelType w:val="hybridMultilevel"/>
    <w:tmpl w:val="9D2E58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D4D5D"/>
    <w:multiLevelType w:val="hybridMultilevel"/>
    <w:tmpl w:val="6F44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F2E8E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0D08AA"/>
    <w:multiLevelType w:val="hybridMultilevel"/>
    <w:tmpl w:val="9872E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55598"/>
    <w:multiLevelType w:val="hybridMultilevel"/>
    <w:tmpl w:val="3F0AEF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D3EDD"/>
    <w:multiLevelType w:val="hybridMultilevel"/>
    <w:tmpl w:val="A73E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B1"/>
    <w:rsid w:val="00000B1E"/>
    <w:rsid w:val="00004536"/>
    <w:rsid w:val="000134BE"/>
    <w:rsid w:val="00016CF5"/>
    <w:rsid w:val="000174CF"/>
    <w:rsid w:val="000215DC"/>
    <w:rsid w:val="00047158"/>
    <w:rsid w:val="00070597"/>
    <w:rsid w:val="00081116"/>
    <w:rsid w:val="000A2E95"/>
    <w:rsid w:val="000B79EC"/>
    <w:rsid w:val="000D079A"/>
    <w:rsid w:val="000D0F05"/>
    <w:rsid w:val="000F03E2"/>
    <w:rsid w:val="000F2473"/>
    <w:rsid w:val="00106CA3"/>
    <w:rsid w:val="00127C8B"/>
    <w:rsid w:val="00130872"/>
    <w:rsid w:val="00133C83"/>
    <w:rsid w:val="00172C8E"/>
    <w:rsid w:val="001764B7"/>
    <w:rsid w:val="001A3981"/>
    <w:rsid w:val="001B0E05"/>
    <w:rsid w:val="001B5D46"/>
    <w:rsid w:val="001C60C3"/>
    <w:rsid w:val="001C6D5A"/>
    <w:rsid w:val="001E1584"/>
    <w:rsid w:val="00205143"/>
    <w:rsid w:val="002157B0"/>
    <w:rsid w:val="00235B2F"/>
    <w:rsid w:val="00244806"/>
    <w:rsid w:val="00246F0E"/>
    <w:rsid w:val="002839B7"/>
    <w:rsid w:val="0031176A"/>
    <w:rsid w:val="003220F9"/>
    <w:rsid w:val="00356A04"/>
    <w:rsid w:val="003C5AC2"/>
    <w:rsid w:val="00411B62"/>
    <w:rsid w:val="0041316F"/>
    <w:rsid w:val="0041319C"/>
    <w:rsid w:val="004350DB"/>
    <w:rsid w:val="00446C46"/>
    <w:rsid w:val="00451A4C"/>
    <w:rsid w:val="0046358E"/>
    <w:rsid w:val="00490789"/>
    <w:rsid w:val="0049631B"/>
    <w:rsid w:val="004A23D5"/>
    <w:rsid w:val="004D6A36"/>
    <w:rsid w:val="004E7263"/>
    <w:rsid w:val="004F1747"/>
    <w:rsid w:val="00510C53"/>
    <w:rsid w:val="00521BC4"/>
    <w:rsid w:val="005304CF"/>
    <w:rsid w:val="00542187"/>
    <w:rsid w:val="0057312B"/>
    <w:rsid w:val="005802AC"/>
    <w:rsid w:val="005A16ED"/>
    <w:rsid w:val="005A76CE"/>
    <w:rsid w:val="005B327D"/>
    <w:rsid w:val="005C2B48"/>
    <w:rsid w:val="00607177"/>
    <w:rsid w:val="0063190B"/>
    <w:rsid w:val="00633BC7"/>
    <w:rsid w:val="006572C3"/>
    <w:rsid w:val="006625E7"/>
    <w:rsid w:val="006633B6"/>
    <w:rsid w:val="006F69B4"/>
    <w:rsid w:val="007042A8"/>
    <w:rsid w:val="007A32A9"/>
    <w:rsid w:val="007B6A5C"/>
    <w:rsid w:val="007C78EE"/>
    <w:rsid w:val="00812034"/>
    <w:rsid w:val="0083355C"/>
    <w:rsid w:val="00841796"/>
    <w:rsid w:val="00841C3A"/>
    <w:rsid w:val="008743FA"/>
    <w:rsid w:val="008835E5"/>
    <w:rsid w:val="00886AB1"/>
    <w:rsid w:val="008A71DA"/>
    <w:rsid w:val="008D1B47"/>
    <w:rsid w:val="008F0872"/>
    <w:rsid w:val="00912568"/>
    <w:rsid w:val="00954F1F"/>
    <w:rsid w:val="009A3B4C"/>
    <w:rsid w:val="009F2898"/>
    <w:rsid w:val="00A145A6"/>
    <w:rsid w:val="00A309F8"/>
    <w:rsid w:val="00A35F9E"/>
    <w:rsid w:val="00A47567"/>
    <w:rsid w:val="00A50AFA"/>
    <w:rsid w:val="00A53FDD"/>
    <w:rsid w:val="00A72FC7"/>
    <w:rsid w:val="00A774F2"/>
    <w:rsid w:val="00A90CB5"/>
    <w:rsid w:val="00AC0EE8"/>
    <w:rsid w:val="00AE267A"/>
    <w:rsid w:val="00B054DC"/>
    <w:rsid w:val="00B059DE"/>
    <w:rsid w:val="00B1646D"/>
    <w:rsid w:val="00B239ED"/>
    <w:rsid w:val="00B25211"/>
    <w:rsid w:val="00B36B7C"/>
    <w:rsid w:val="00B461FC"/>
    <w:rsid w:val="00B57388"/>
    <w:rsid w:val="00BF035D"/>
    <w:rsid w:val="00C03ADE"/>
    <w:rsid w:val="00C321D2"/>
    <w:rsid w:val="00C32CF2"/>
    <w:rsid w:val="00C67F27"/>
    <w:rsid w:val="00C83571"/>
    <w:rsid w:val="00CE5D4D"/>
    <w:rsid w:val="00CF0CCD"/>
    <w:rsid w:val="00D277E9"/>
    <w:rsid w:val="00D42B7C"/>
    <w:rsid w:val="00D64098"/>
    <w:rsid w:val="00D733CD"/>
    <w:rsid w:val="00DA5944"/>
    <w:rsid w:val="00DA5F7E"/>
    <w:rsid w:val="00DB37CE"/>
    <w:rsid w:val="00DC75ED"/>
    <w:rsid w:val="00DF0DB8"/>
    <w:rsid w:val="00E07FD1"/>
    <w:rsid w:val="00E13FED"/>
    <w:rsid w:val="00E372C0"/>
    <w:rsid w:val="00E55F2A"/>
    <w:rsid w:val="00E64041"/>
    <w:rsid w:val="00EC180B"/>
    <w:rsid w:val="00ED4BE6"/>
    <w:rsid w:val="00EF0850"/>
    <w:rsid w:val="00F25FE8"/>
    <w:rsid w:val="00F37531"/>
    <w:rsid w:val="00F410CB"/>
    <w:rsid w:val="00F53EF9"/>
    <w:rsid w:val="00F6696C"/>
    <w:rsid w:val="00F779C0"/>
    <w:rsid w:val="00FA1AD5"/>
    <w:rsid w:val="00FC28A6"/>
    <w:rsid w:val="00FD1935"/>
    <w:rsid w:val="00FD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BF92"/>
  <w15:docId w15:val="{6BCAD47F-1F1E-4FA1-BE22-88CA70CB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60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2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1616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e.szczepaniec</dc:creator>
  <cp:lastModifiedBy>e.szczepaniec</cp:lastModifiedBy>
  <cp:revision>3</cp:revision>
  <cp:lastPrinted>2024-08-29T16:52:00Z</cp:lastPrinted>
  <dcterms:created xsi:type="dcterms:W3CDTF">2025-03-14T08:25:00Z</dcterms:created>
  <dcterms:modified xsi:type="dcterms:W3CDTF">2025-03-14T08:36:00Z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de25a8-ef47-40a7-b7ec-c38f3edc2acf_Enabled">
    <vt:lpwstr>true</vt:lpwstr>
  </property>
  <property fmtid="{D5CDD505-2E9C-101B-9397-08002B2CF9AE}" pid="3" name="MSIP_Label_a8de25a8-ef47-40a7-b7ec-c38f3edc2acf_SetDate">
    <vt:lpwstr>2024-11-28T14:46:20Z</vt:lpwstr>
  </property>
  <property fmtid="{D5CDD505-2E9C-101B-9397-08002B2CF9AE}" pid="4" name="MSIP_Label_a8de25a8-ef47-40a7-b7ec-c38f3edc2acf_Method">
    <vt:lpwstr>Standard</vt:lpwstr>
  </property>
  <property fmtid="{D5CDD505-2E9C-101B-9397-08002B2CF9AE}" pid="5" name="MSIP_Label_a8de25a8-ef47-40a7-b7ec-c38f3edc2acf_Name">
    <vt:lpwstr>a8de25a8-ef47-40a7-b7ec-c38f3edc2acf</vt:lpwstr>
  </property>
  <property fmtid="{D5CDD505-2E9C-101B-9397-08002B2CF9AE}" pid="6" name="MSIP_Label_a8de25a8-ef47-40a7-b7ec-c38f3edc2acf_SiteId">
    <vt:lpwstr>15d1bef2-0a6a-46f9-be4c-023279325e51</vt:lpwstr>
  </property>
  <property fmtid="{D5CDD505-2E9C-101B-9397-08002B2CF9AE}" pid="7" name="MSIP_Label_a8de25a8-ef47-40a7-b7ec-c38f3edc2acf_ActionId">
    <vt:lpwstr>f4468ed6-c5b4-44d0-acf3-8b347adeb2b2</vt:lpwstr>
  </property>
  <property fmtid="{D5CDD505-2E9C-101B-9397-08002B2CF9AE}" pid="8" name="MSIP_Label_a8de25a8-ef47-40a7-b7ec-c38f3edc2acf_ContentBits">
    <vt:lpwstr>0</vt:lpwstr>
  </property>
</Properties>
</file>