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:rsidR="00AF76C8" w:rsidRDefault="00AF76C8" w:rsidP="00AF76C8">
      <w:pPr>
        <w:rPr>
          <w:rFonts w:ascii="Arial" w:hAnsi="Arial" w:cs="Arial"/>
          <w:b/>
          <w:sz w:val="32"/>
          <w:szCs w:val="32"/>
        </w:rPr>
      </w:pPr>
    </w:p>
    <w:p w:rsidR="00AF76C8" w:rsidRP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  <w:r w:rsidRPr="00AF76C8">
        <w:rPr>
          <w:rFonts w:ascii="Arial" w:hAnsi="Arial" w:cs="Arial"/>
          <w:b/>
          <w:sz w:val="32"/>
          <w:szCs w:val="32"/>
        </w:rPr>
        <w:t>SPECYFIKACJA TECHNICZNA</w:t>
      </w:r>
    </w:p>
    <w:p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  <w:r w:rsidRPr="00AF76C8">
        <w:rPr>
          <w:rFonts w:ascii="Arial" w:hAnsi="Arial" w:cs="Arial"/>
          <w:b/>
          <w:sz w:val="32"/>
          <w:szCs w:val="32"/>
        </w:rPr>
        <w:t>WYKONANIA I ODBIORU ROBÓT BUDOWLANYCH</w:t>
      </w:r>
    </w:p>
    <w:p w:rsidR="00AF76C8" w:rsidRPr="000709BB" w:rsidRDefault="00503763" w:rsidP="00AF76C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B-04</w:t>
      </w:r>
      <w:bookmarkStart w:id="0" w:name="_GoBack"/>
      <w:bookmarkEnd w:id="0"/>
      <w:r w:rsidR="000709BB" w:rsidRPr="000709BB">
        <w:rPr>
          <w:rFonts w:ascii="Arial" w:hAnsi="Arial" w:cs="Arial"/>
          <w:b/>
          <w:sz w:val="32"/>
          <w:szCs w:val="32"/>
        </w:rPr>
        <w:t>.00.00</w:t>
      </w:r>
    </w:p>
    <w:p w:rsidR="00AF76C8" w:rsidRPr="00AF76C8" w:rsidRDefault="009A7DDE" w:rsidP="00AF76C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ROBOTY MALARSKIE</w:t>
      </w: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AF76C8" w:rsidRDefault="00AF76C8" w:rsidP="00AF76C8">
      <w:pPr>
        <w:rPr>
          <w:rFonts w:ascii="Arial" w:hAnsi="Arial" w:cs="Arial"/>
          <w:sz w:val="20"/>
          <w:szCs w:val="20"/>
        </w:rPr>
      </w:pPr>
    </w:p>
    <w:p w:rsidR="00FB26D2" w:rsidRDefault="00FB26D2" w:rsidP="00FB26D2">
      <w:pPr>
        <w:pStyle w:val="Nagwekspisutreci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98766327"/>
        <w:docPartObj>
          <w:docPartGallery w:val="Table of Contents"/>
          <w:docPartUnique/>
        </w:docPartObj>
      </w:sdtPr>
      <w:sdtEndPr/>
      <w:sdtContent>
        <w:p w:rsidR="00FB26D2" w:rsidRPr="00AA5629" w:rsidRDefault="00FB26D2">
          <w:pPr>
            <w:pStyle w:val="Nagwekspisutreci"/>
            <w:rPr>
              <w:color w:val="auto"/>
            </w:rPr>
          </w:pPr>
          <w:r w:rsidRPr="00AA5629">
            <w:rPr>
              <w:color w:val="auto"/>
            </w:rPr>
            <w:t>SPIS TREŚCI</w:t>
          </w:r>
        </w:p>
        <w:p w:rsidR="001901FD" w:rsidRDefault="00FB26D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206073" w:history="1">
            <w:r w:rsidR="001901FD" w:rsidRPr="004F5C1A">
              <w:rPr>
                <w:rStyle w:val="Hipercze"/>
                <w:noProof/>
              </w:rPr>
              <w:t>1.WSTĘP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_Toc198206073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3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74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>1.1 Przedmiot ST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_Toc198206074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3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75" w:history="1">
            <w:r w:rsidR="001901FD" w:rsidRPr="004F5C1A">
              <w:rPr>
                <w:rStyle w:val="Hipercze"/>
                <w:noProof/>
              </w:rPr>
              <w:t>2. MATERIAŁY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_Toc198206075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3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76" w:history="1">
            <w:r w:rsidR="001901FD" w:rsidRPr="004F5C1A">
              <w:rPr>
                <w:rStyle w:val="Hipercze"/>
                <w:noProof/>
              </w:rPr>
              <w:t>3. SPRZĘT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_Toc198206076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5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77" w:history="1">
            <w:r w:rsidR="001901FD" w:rsidRPr="004F5C1A">
              <w:rPr>
                <w:rStyle w:val="Hipercze"/>
                <w:noProof/>
              </w:rPr>
              <w:t>4. TRANSPORT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_Toc198206077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5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78" w:history="1">
            <w:r w:rsidR="001901FD" w:rsidRPr="004F5C1A">
              <w:rPr>
                <w:rStyle w:val="Hipercze"/>
                <w:noProof/>
              </w:rPr>
              <w:t>5 WYKONANIE ROBÓT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_Toc198206078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5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79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>5.1 Przygotowanie podłoży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_Toc198206079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6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80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>5.2 Gruntowanie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_Toc198206080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6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81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>5.3 Wykonanie powłok malarskich: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_Toc198206081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6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82" w:history="1">
            <w:r w:rsidR="001901FD" w:rsidRPr="004F5C1A">
              <w:rPr>
                <w:rStyle w:val="Hipercze"/>
                <w:noProof/>
              </w:rPr>
              <w:t>6. KONTROLA JAKOŚCI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_Toc198206082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6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83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>6.1 Powierzchnia do malowania.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_Toc198206083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6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84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 xml:space="preserve">6.2 </w:t>
            </w:r>
            <w:r w:rsidR="001901FD" w:rsidRPr="004F5C1A">
              <w:rPr>
                <w:rStyle w:val="Hipercze"/>
                <w:rFonts w:ascii="Arial" w:hAnsi="Arial" w:cs="Arial"/>
                <w:iCs/>
                <w:noProof/>
              </w:rPr>
              <w:t>Roboty malarskie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_Toc198206084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7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85" w:history="1">
            <w:r w:rsidR="001901FD" w:rsidRPr="004F5C1A">
              <w:rPr>
                <w:rStyle w:val="Hipercze"/>
                <w:noProof/>
              </w:rPr>
              <w:t>7. OBMIAR ROBÓT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_Toc198206085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7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86" w:history="1">
            <w:r w:rsidR="001901FD" w:rsidRPr="004F5C1A">
              <w:rPr>
                <w:rStyle w:val="Hipercze"/>
                <w:noProof/>
              </w:rPr>
              <w:t>8. ODBIÓR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_Toc198206086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7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87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>8.1 Odbiór podłoża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_Toc198206087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7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2"/>
            <w:tabs>
              <w:tab w:val="right" w:leader="dot" w:pos="9203"/>
            </w:tabs>
            <w:rPr>
              <w:rFonts w:eastAsiaTheme="minorEastAsia"/>
              <w:noProof/>
              <w:lang w:eastAsia="pl-PL"/>
            </w:rPr>
          </w:pPr>
          <w:hyperlink w:anchor="_Toc198206088" w:history="1">
            <w:r w:rsidR="001901FD" w:rsidRPr="004F5C1A">
              <w:rPr>
                <w:rStyle w:val="Hipercze"/>
                <w:rFonts w:ascii="Arial" w:hAnsi="Arial" w:cs="Arial"/>
                <w:noProof/>
              </w:rPr>
              <w:t>8.2 Odbiór robót malarskich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_Toc198206088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8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1901FD" w:rsidRDefault="00D957C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206089" w:history="1">
            <w:r w:rsidR="001901FD" w:rsidRPr="004F5C1A">
              <w:rPr>
                <w:rStyle w:val="Hipercze"/>
                <w:noProof/>
              </w:rPr>
              <w:t>9 PODSTAWA PŁATNOŚCI</w:t>
            </w:r>
            <w:r w:rsidR="001901FD">
              <w:rPr>
                <w:noProof/>
                <w:webHidden/>
              </w:rPr>
              <w:tab/>
            </w:r>
            <w:r w:rsidR="001901FD">
              <w:rPr>
                <w:noProof/>
                <w:webHidden/>
              </w:rPr>
              <w:fldChar w:fldCharType="begin"/>
            </w:r>
            <w:r w:rsidR="001901FD">
              <w:rPr>
                <w:noProof/>
                <w:webHidden/>
              </w:rPr>
              <w:instrText xml:space="preserve"> PAGEREF _Toc198206089 \h </w:instrText>
            </w:r>
            <w:r w:rsidR="001901FD">
              <w:rPr>
                <w:noProof/>
                <w:webHidden/>
              </w:rPr>
            </w:r>
            <w:r w:rsidR="001901FD">
              <w:rPr>
                <w:noProof/>
                <w:webHidden/>
              </w:rPr>
              <w:fldChar w:fldCharType="separate"/>
            </w:r>
            <w:r w:rsidR="001901FD">
              <w:rPr>
                <w:noProof/>
                <w:webHidden/>
              </w:rPr>
              <w:t>8</w:t>
            </w:r>
            <w:r w:rsidR="001901FD">
              <w:rPr>
                <w:noProof/>
                <w:webHidden/>
              </w:rPr>
              <w:fldChar w:fldCharType="end"/>
            </w:r>
          </w:hyperlink>
        </w:p>
        <w:p w:rsidR="00FB26D2" w:rsidRDefault="00FB26D2">
          <w:r>
            <w:rPr>
              <w:b/>
              <w:bCs/>
            </w:rPr>
            <w:fldChar w:fldCharType="end"/>
          </w:r>
        </w:p>
      </w:sdtContent>
    </w:sdt>
    <w:p w:rsidR="00FB26D2" w:rsidRDefault="00FB26D2" w:rsidP="00FB26D2">
      <w:pPr>
        <w:pStyle w:val="Styl"/>
        <w:spacing w:before="542"/>
        <w:jc w:val="both"/>
        <w:rPr>
          <w:b/>
          <w:bCs/>
          <w:sz w:val="28"/>
          <w:szCs w:val="28"/>
        </w:rPr>
      </w:pPr>
    </w:p>
    <w:p w:rsidR="00FB26D2" w:rsidRDefault="00FB26D2" w:rsidP="00FB26D2">
      <w:pPr>
        <w:pStyle w:val="Styl"/>
        <w:spacing w:before="542"/>
        <w:jc w:val="both"/>
        <w:rPr>
          <w:b/>
          <w:bCs/>
          <w:sz w:val="28"/>
          <w:szCs w:val="28"/>
        </w:rPr>
      </w:pPr>
    </w:p>
    <w:p w:rsidR="00FB26D2" w:rsidRDefault="00FB26D2" w:rsidP="00FB26D2">
      <w:pPr>
        <w:pStyle w:val="Styl"/>
        <w:spacing w:before="542"/>
        <w:jc w:val="both"/>
        <w:rPr>
          <w:b/>
          <w:bCs/>
          <w:sz w:val="28"/>
          <w:szCs w:val="28"/>
        </w:rPr>
      </w:pPr>
    </w:p>
    <w:p w:rsidR="00FB26D2" w:rsidRDefault="00FB26D2" w:rsidP="00FB26D2">
      <w:pPr>
        <w:pStyle w:val="Styl"/>
        <w:spacing w:before="542"/>
        <w:jc w:val="both"/>
        <w:rPr>
          <w:b/>
          <w:bCs/>
          <w:sz w:val="28"/>
          <w:szCs w:val="28"/>
        </w:rPr>
      </w:pPr>
    </w:p>
    <w:p w:rsidR="00FB26D2" w:rsidRDefault="00FB26D2" w:rsidP="00FB26D2">
      <w:pPr>
        <w:pStyle w:val="Styl"/>
        <w:spacing w:before="542"/>
        <w:jc w:val="both"/>
        <w:rPr>
          <w:b/>
          <w:bCs/>
          <w:sz w:val="28"/>
          <w:szCs w:val="28"/>
        </w:rPr>
      </w:pPr>
    </w:p>
    <w:p w:rsidR="009A7DDE" w:rsidRPr="00FB26D2" w:rsidRDefault="009A7DDE" w:rsidP="00FB26D2">
      <w:pPr>
        <w:pStyle w:val="Nagwek1"/>
        <w:rPr>
          <w:rFonts w:ascii="Arial" w:hAnsi="Arial" w:cs="Arial"/>
          <w:color w:val="auto"/>
        </w:rPr>
      </w:pPr>
      <w:bookmarkStart w:id="1" w:name="_Toc198206073"/>
      <w:r w:rsidRPr="00FB26D2">
        <w:rPr>
          <w:rFonts w:ascii="Arial" w:hAnsi="Arial" w:cs="Arial"/>
          <w:color w:val="auto"/>
        </w:rPr>
        <w:lastRenderedPageBreak/>
        <w:t>1.WSTĘP</w:t>
      </w:r>
      <w:bookmarkEnd w:id="1"/>
      <w:r w:rsidRPr="00FB26D2">
        <w:rPr>
          <w:rFonts w:ascii="Arial" w:hAnsi="Arial" w:cs="Arial"/>
          <w:color w:val="auto"/>
        </w:rPr>
        <w:t xml:space="preserve"> </w:t>
      </w:r>
    </w:p>
    <w:p w:rsidR="009A7DDE" w:rsidRDefault="009A7DDE" w:rsidP="009A7DDE">
      <w:pPr>
        <w:pStyle w:val="Styl"/>
        <w:spacing w:line="276" w:lineRule="auto"/>
        <w:ind w:left="14"/>
        <w:rPr>
          <w:sz w:val="21"/>
          <w:szCs w:val="21"/>
        </w:rPr>
      </w:pPr>
    </w:p>
    <w:p w:rsidR="009A7DDE" w:rsidRPr="00FB26D2" w:rsidRDefault="009A7DDE" w:rsidP="00FB26D2">
      <w:pPr>
        <w:pStyle w:val="Nagwek2"/>
        <w:rPr>
          <w:rFonts w:ascii="Arial" w:hAnsi="Arial" w:cs="Arial"/>
          <w:color w:val="auto"/>
        </w:rPr>
      </w:pPr>
      <w:bookmarkStart w:id="2" w:name="_Toc198206074"/>
      <w:r w:rsidRPr="00FB26D2">
        <w:rPr>
          <w:rFonts w:ascii="Arial" w:hAnsi="Arial" w:cs="Arial"/>
          <w:color w:val="auto"/>
        </w:rPr>
        <w:t xml:space="preserve">1.1 </w:t>
      </w:r>
      <w:r w:rsidR="00F32393" w:rsidRPr="00FB26D2">
        <w:rPr>
          <w:rFonts w:ascii="Arial" w:hAnsi="Arial" w:cs="Arial"/>
          <w:color w:val="auto"/>
        </w:rPr>
        <w:t xml:space="preserve">Przedmiot </w:t>
      </w:r>
      <w:r w:rsidRPr="00FB26D2">
        <w:rPr>
          <w:rFonts w:ascii="Arial" w:hAnsi="Arial" w:cs="Arial"/>
          <w:color w:val="auto"/>
        </w:rPr>
        <w:t>ST</w:t>
      </w:r>
      <w:bookmarkEnd w:id="2"/>
      <w:r w:rsidRPr="00FB26D2">
        <w:rPr>
          <w:rFonts w:ascii="Arial" w:hAnsi="Arial" w:cs="Arial"/>
          <w:color w:val="auto"/>
        </w:rPr>
        <w:t xml:space="preserve"> </w:t>
      </w:r>
    </w:p>
    <w:p w:rsidR="005F7AD3" w:rsidRPr="005F7AD3" w:rsidRDefault="009A7DDE" w:rsidP="005F7A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5F7AD3">
        <w:rPr>
          <w:rFonts w:ascii="Arial" w:hAnsi="Arial" w:cs="Arial"/>
          <w:sz w:val="24"/>
          <w:szCs w:val="24"/>
        </w:rPr>
        <w:t>Przedmiotem niniejszej szczegółowej specyfikacji technicznej są wymagania dotyczące wykona</w:t>
      </w:r>
      <w:r w:rsidR="001B41FD" w:rsidRPr="005F7AD3">
        <w:rPr>
          <w:rFonts w:ascii="Arial" w:hAnsi="Arial" w:cs="Arial"/>
          <w:sz w:val="24"/>
          <w:szCs w:val="24"/>
        </w:rPr>
        <w:t>nia i odbioru robót malarskich</w:t>
      </w:r>
      <w:r w:rsidR="00FB26D2" w:rsidRPr="005F7AD3">
        <w:rPr>
          <w:rFonts w:ascii="Arial" w:hAnsi="Arial" w:cs="Arial"/>
          <w:sz w:val="24"/>
          <w:szCs w:val="24"/>
        </w:rPr>
        <w:t xml:space="preserve"> przy realizacji zadania</w:t>
      </w:r>
      <w:r w:rsidR="004A0CC7" w:rsidRPr="005F7AD3">
        <w:rPr>
          <w:rFonts w:ascii="Arial" w:hAnsi="Arial" w:cs="Arial"/>
          <w:sz w:val="24"/>
          <w:szCs w:val="24"/>
        </w:rPr>
        <w:t>:</w:t>
      </w:r>
      <w:r w:rsidR="00FB26D2" w:rsidRPr="005F7AD3">
        <w:rPr>
          <w:rFonts w:ascii="Arial" w:hAnsi="Arial" w:cs="Arial"/>
          <w:sz w:val="24"/>
          <w:szCs w:val="24"/>
        </w:rPr>
        <w:t xml:space="preserve"> </w:t>
      </w:r>
    </w:p>
    <w:p w:rsidR="00A876C8" w:rsidRDefault="007A6D3F" w:rsidP="00A876C8">
      <w:pPr>
        <w:pStyle w:val="Styl"/>
        <w:spacing w:line="276" w:lineRule="auto"/>
        <w:ind w:left="9"/>
        <w:jc w:val="center"/>
        <w:rPr>
          <w:b/>
        </w:rPr>
      </w:pPr>
      <w:r w:rsidRPr="007A6D3F">
        <w:rPr>
          <w:b/>
        </w:rPr>
        <w:t xml:space="preserve">    „</w:t>
      </w:r>
      <w:r w:rsidR="00320C20">
        <w:rPr>
          <w:b/>
        </w:rPr>
        <w:t xml:space="preserve"> </w:t>
      </w:r>
      <w:r w:rsidR="00503763">
        <w:rPr>
          <w:b/>
        </w:rPr>
        <w:t xml:space="preserve">Remont budynku nr 10, </w:t>
      </w:r>
      <w:r w:rsidR="00320C20" w:rsidRPr="00320C20">
        <w:rPr>
          <w:b/>
        </w:rPr>
        <w:t>11</w:t>
      </w:r>
      <w:r w:rsidR="00503763">
        <w:rPr>
          <w:b/>
        </w:rPr>
        <w:t xml:space="preserve"> oraz 1 </w:t>
      </w:r>
      <w:r w:rsidR="00320C20" w:rsidRPr="00320C20">
        <w:rPr>
          <w:b/>
        </w:rPr>
        <w:t xml:space="preserve"> w kompleksie wojskowym  przy</w:t>
      </w:r>
      <w:r w:rsidR="00503763">
        <w:rPr>
          <w:b/>
        </w:rPr>
        <w:t xml:space="preserve">                      </w:t>
      </w:r>
      <w:r w:rsidR="00320C20" w:rsidRPr="00320C20">
        <w:rPr>
          <w:b/>
        </w:rPr>
        <w:t xml:space="preserve"> ul. Krakowskiej 11b w Rzeszowie</w:t>
      </w:r>
      <w:r w:rsidRPr="007A6D3F">
        <w:rPr>
          <w:b/>
        </w:rPr>
        <w:t>”</w:t>
      </w:r>
    </w:p>
    <w:p w:rsidR="00C86691" w:rsidRPr="007A6D3F" w:rsidRDefault="00C86691" w:rsidP="00A876C8">
      <w:pPr>
        <w:pStyle w:val="Styl"/>
        <w:spacing w:line="276" w:lineRule="auto"/>
        <w:ind w:left="9"/>
        <w:jc w:val="center"/>
        <w:rPr>
          <w:rFonts w:eastAsia="Calibri-Bold"/>
          <w:b/>
        </w:rPr>
      </w:pPr>
    </w:p>
    <w:p w:rsidR="009A7DDE" w:rsidRPr="007A6D3F" w:rsidRDefault="009A7DDE" w:rsidP="00B864A9">
      <w:pPr>
        <w:pStyle w:val="Styl"/>
        <w:spacing w:line="276" w:lineRule="auto"/>
        <w:ind w:left="9"/>
        <w:jc w:val="both"/>
        <w:rPr>
          <w:b/>
          <w:sz w:val="26"/>
          <w:szCs w:val="26"/>
        </w:rPr>
      </w:pPr>
      <w:r w:rsidRPr="007A6D3F">
        <w:rPr>
          <w:b/>
          <w:sz w:val="26"/>
          <w:szCs w:val="26"/>
        </w:rPr>
        <w:t xml:space="preserve">1.2 </w:t>
      </w:r>
      <w:r w:rsidR="00F32393" w:rsidRPr="007A6D3F">
        <w:rPr>
          <w:b/>
          <w:bCs/>
          <w:iCs/>
          <w:sz w:val="26"/>
          <w:szCs w:val="26"/>
        </w:rPr>
        <w:t xml:space="preserve">Zakres stosowania </w:t>
      </w:r>
      <w:r w:rsidRPr="007A6D3F">
        <w:rPr>
          <w:b/>
          <w:bCs/>
          <w:iCs/>
          <w:sz w:val="26"/>
          <w:szCs w:val="26"/>
        </w:rPr>
        <w:t>ST</w:t>
      </w:r>
      <w:r w:rsidRPr="007A6D3F">
        <w:rPr>
          <w:b/>
          <w:sz w:val="26"/>
          <w:szCs w:val="26"/>
        </w:rPr>
        <w:t xml:space="preserve"> </w:t>
      </w:r>
    </w:p>
    <w:p w:rsidR="009A7DDE" w:rsidRPr="009A7DDE" w:rsidRDefault="009A7DDE" w:rsidP="00F32393">
      <w:pPr>
        <w:pStyle w:val="Styl"/>
        <w:spacing w:line="276" w:lineRule="auto"/>
        <w:jc w:val="both"/>
      </w:pPr>
      <w:r w:rsidRPr="009A7DDE">
        <w:t xml:space="preserve">Szczegółowa specyfikacja techniczna jest </w:t>
      </w:r>
      <w:r w:rsidR="00A876C8" w:rsidRPr="009A7DDE">
        <w:t>stosowana, jako</w:t>
      </w:r>
      <w:r w:rsidRPr="009A7DDE">
        <w:t xml:space="preserve"> dokument przetargowy przy zleceniu i realizacji robót wymienionych w pkt. 1.1. </w:t>
      </w:r>
    </w:p>
    <w:p w:rsidR="009A7DDE" w:rsidRDefault="009A7DDE" w:rsidP="009A7DDE">
      <w:pPr>
        <w:pStyle w:val="Styl"/>
        <w:spacing w:line="276" w:lineRule="auto"/>
        <w:ind w:left="14"/>
        <w:jc w:val="both"/>
        <w:rPr>
          <w:sz w:val="26"/>
          <w:szCs w:val="26"/>
        </w:rPr>
      </w:pPr>
    </w:p>
    <w:p w:rsidR="009A7DDE" w:rsidRPr="007A6D3F" w:rsidRDefault="009A7DDE" w:rsidP="009A7DDE">
      <w:pPr>
        <w:pStyle w:val="Styl"/>
        <w:spacing w:line="276" w:lineRule="auto"/>
        <w:ind w:left="14"/>
        <w:jc w:val="both"/>
        <w:rPr>
          <w:b/>
          <w:sz w:val="26"/>
          <w:szCs w:val="26"/>
        </w:rPr>
      </w:pPr>
      <w:r w:rsidRPr="007A6D3F">
        <w:rPr>
          <w:b/>
          <w:sz w:val="26"/>
          <w:szCs w:val="26"/>
        </w:rPr>
        <w:t xml:space="preserve">1.3 </w:t>
      </w:r>
      <w:r w:rsidR="00F32393" w:rsidRPr="007A6D3F">
        <w:rPr>
          <w:b/>
          <w:bCs/>
          <w:iCs/>
          <w:sz w:val="26"/>
          <w:szCs w:val="26"/>
        </w:rPr>
        <w:t xml:space="preserve">Zakres robót objętych w </w:t>
      </w:r>
      <w:r w:rsidRPr="007A6D3F">
        <w:rPr>
          <w:b/>
          <w:bCs/>
          <w:iCs/>
          <w:sz w:val="26"/>
          <w:szCs w:val="26"/>
        </w:rPr>
        <w:t>ST</w:t>
      </w:r>
      <w:r w:rsidRPr="007A6D3F">
        <w:rPr>
          <w:b/>
          <w:sz w:val="26"/>
          <w:szCs w:val="26"/>
        </w:rPr>
        <w:t xml:space="preserve"> </w:t>
      </w:r>
    </w:p>
    <w:p w:rsidR="009A7DDE" w:rsidRPr="009A7DDE" w:rsidRDefault="009A7DDE" w:rsidP="00F32393">
      <w:pPr>
        <w:pStyle w:val="Styl"/>
        <w:spacing w:line="276" w:lineRule="auto"/>
        <w:ind w:left="14"/>
        <w:jc w:val="both"/>
      </w:pPr>
      <w:r w:rsidRPr="009A7DDE">
        <w:t xml:space="preserve">Roboty, których dotyczy specyfikacja obejmują wszystkie czynności umożliwiające i mające na celu wykonanie robót malarskich obiektu wg poniższego: </w:t>
      </w:r>
    </w:p>
    <w:p w:rsidR="009A7DDE" w:rsidRPr="009A7DDE" w:rsidRDefault="009A7DDE" w:rsidP="009A7DDE">
      <w:pPr>
        <w:pStyle w:val="Styl"/>
        <w:spacing w:line="276" w:lineRule="auto"/>
        <w:ind w:left="14"/>
        <w:jc w:val="both"/>
      </w:pPr>
      <w:r w:rsidRPr="009A7DDE">
        <w:t xml:space="preserve">- malowanie tynków </w:t>
      </w:r>
    </w:p>
    <w:p w:rsidR="009A7DDE" w:rsidRDefault="009A7DDE" w:rsidP="009A7DDE">
      <w:pPr>
        <w:pStyle w:val="Styl"/>
        <w:spacing w:line="276" w:lineRule="auto"/>
        <w:ind w:left="14"/>
        <w:jc w:val="both"/>
        <w:rPr>
          <w:sz w:val="26"/>
          <w:szCs w:val="26"/>
        </w:rPr>
      </w:pPr>
    </w:p>
    <w:p w:rsidR="009A7DDE" w:rsidRPr="007A6D3F" w:rsidRDefault="009A7DDE" w:rsidP="009A7DDE">
      <w:pPr>
        <w:pStyle w:val="Styl"/>
        <w:spacing w:line="276" w:lineRule="auto"/>
        <w:ind w:left="14"/>
        <w:jc w:val="both"/>
        <w:rPr>
          <w:b/>
          <w:sz w:val="26"/>
          <w:szCs w:val="26"/>
        </w:rPr>
      </w:pPr>
      <w:r w:rsidRPr="007A6D3F">
        <w:rPr>
          <w:b/>
          <w:sz w:val="26"/>
          <w:szCs w:val="26"/>
        </w:rPr>
        <w:t xml:space="preserve">1.4 </w:t>
      </w:r>
      <w:r w:rsidRPr="007A6D3F">
        <w:rPr>
          <w:b/>
          <w:bCs/>
          <w:iCs/>
          <w:sz w:val="26"/>
          <w:szCs w:val="26"/>
        </w:rPr>
        <w:t>Określenia podstawowe</w:t>
      </w:r>
      <w:r w:rsidRPr="007A6D3F">
        <w:rPr>
          <w:b/>
          <w:sz w:val="26"/>
          <w:szCs w:val="26"/>
        </w:rPr>
        <w:t xml:space="preserve"> </w:t>
      </w:r>
    </w:p>
    <w:p w:rsidR="009A7DDE" w:rsidRPr="00F32393" w:rsidRDefault="00F32393" w:rsidP="00F32393">
      <w:pPr>
        <w:pStyle w:val="Styl"/>
        <w:spacing w:before="4" w:line="276" w:lineRule="auto"/>
        <w:ind w:left="19"/>
        <w:jc w:val="both"/>
      </w:pPr>
      <w:r>
        <w:t xml:space="preserve">Określenia podane w niniejszym </w:t>
      </w:r>
      <w:r w:rsidR="009A7DDE" w:rsidRPr="00F32393">
        <w:t>ST są zgodne z obow</w:t>
      </w:r>
      <w:r w:rsidR="00011023">
        <w:t>iązującymi odpowiednimi normami.</w:t>
      </w:r>
    </w:p>
    <w:p w:rsidR="009A7DDE" w:rsidRPr="00F32393" w:rsidRDefault="009A7DDE" w:rsidP="009A7DDE">
      <w:pPr>
        <w:pStyle w:val="Styl"/>
        <w:spacing w:line="276" w:lineRule="auto"/>
        <w:ind w:left="14"/>
        <w:jc w:val="both"/>
      </w:pPr>
    </w:p>
    <w:p w:rsidR="009A7DDE" w:rsidRPr="007A6D3F" w:rsidRDefault="009A7DDE" w:rsidP="009A7DDE">
      <w:pPr>
        <w:pStyle w:val="Styl"/>
        <w:spacing w:line="276" w:lineRule="auto"/>
        <w:ind w:left="14"/>
        <w:jc w:val="both"/>
        <w:rPr>
          <w:b/>
        </w:rPr>
      </w:pPr>
      <w:r w:rsidRPr="007A6D3F">
        <w:rPr>
          <w:b/>
        </w:rPr>
        <w:t xml:space="preserve">1.5 </w:t>
      </w:r>
      <w:r w:rsidRPr="007A6D3F">
        <w:rPr>
          <w:b/>
          <w:bCs/>
          <w:iCs/>
        </w:rPr>
        <w:t>Ogólne wymagania dotyczące robót</w:t>
      </w:r>
      <w:r w:rsidRPr="007A6D3F">
        <w:rPr>
          <w:b/>
        </w:rPr>
        <w:t xml:space="preserve"> </w:t>
      </w:r>
    </w:p>
    <w:p w:rsidR="009A7DDE" w:rsidRPr="00F32393" w:rsidRDefault="009A7DDE" w:rsidP="00FB26D2">
      <w:pPr>
        <w:pStyle w:val="Styl"/>
        <w:spacing w:line="276" w:lineRule="auto"/>
        <w:ind w:left="14"/>
        <w:jc w:val="both"/>
      </w:pPr>
      <w:r w:rsidRPr="00F32393">
        <w:t xml:space="preserve">Wykonawca robót jest odpowiedzialny za jakość ich wykonania oraz za zgodność z </w:t>
      </w:r>
      <w:r w:rsidR="00F32393">
        <w:t xml:space="preserve"> </w:t>
      </w:r>
      <w:r w:rsidRPr="00F32393">
        <w:t xml:space="preserve">ST i poleceniami Inspektora. </w:t>
      </w:r>
    </w:p>
    <w:p w:rsidR="009A7DDE" w:rsidRPr="00FB26D2" w:rsidRDefault="00F32393" w:rsidP="00FB26D2">
      <w:pPr>
        <w:pStyle w:val="Nagwek1"/>
        <w:rPr>
          <w:rFonts w:ascii="Arial" w:hAnsi="Arial" w:cs="Arial"/>
          <w:color w:val="auto"/>
        </w:rPr>
      </w:pPr>
      <w:bookmarkStart w:id="3" w:name="_Toc198206075"/>
      <w:r w:rsidRPr="00FB26D2">
        <w:rPr>
          <w:rFonts w:ascii="Arial" w:hAnsi="Arial" w:cs="Arial"/>
          <w:color w:val="auto"/>
        </w:rPr>
        <w:t>2. MATERIAŁY</w:t>
      </w:r>
      <w:bookmarkEnd w:id="3"/>
    </w:p>
    <w:p w:rsidR="00F32393" w:rsidRPr="00F32393" w:rsidRDefault="00F32393" w:rsidP="00F32393">
      <w:pPr>
        <w:pStyle w:val="Styl"/>
        <w:spacing w:line="276" w:lineRule="auto"/>
        <w:ind w:left="14"/>
        <w:jc w:val="both"/>
        <w:rPr>
          <w:b/>
          <w:bCs/>
          <w:sz w:val="28"/>
          <w:szCs w:val="28"/>
          <w:u w:val="single"/>
        </w:rPr>
      </w:pPr>
    </w:p>
    <w:p w:rsidR="009A7DDE" w:rsidRPr="007A6D3F" w:rsidRDefault="009A7DDE" w:rsidP="00F32393">
      <w:pPr>
        <w:pStyle w:val="Styl"/>
        <w:spacing w:line="276" w:lineRule="auto"/>
        <w:ind w:left="14"/>
        <w:jc w:val="both"/>
        <w:rPr>
          <w:b/>
          <w:sz w:val="26"/>
          <w:szCs w:val="26"/>
        </w:rPr>
      </w:pPr>
      <w:r w:rsidRPr="007A6D3F">
        <w:rPr>
          <w:b/>
          <w:sz w:val="26"/>
          <w:szCs w:val="26"/>
        </w:rPr>
        <w:t xml:space="preserve">2.1 </w:t>
      </w:r>
      <w:r w:rsidRPr="007A6D3F">
        <w:rPr>
          <w:b/>
          <w:bCs/>
          <w:sz w:val="26"/>
          <w:szCs w:val="26"/>
        </w:rPr>
        <w:t xml:space="preserve">Woda </w:t>
      </w:r>
    </w:p>
    <w:p w:rsidR="009A7DDE" w:rsidRPr="00F32393" w:rsidRDefault="009A7DDE" w:rsidP="00F32393">
      <w:pPr>
        <w:pStyle w:val="Styl"/>
        <w:spacing w:line="276" w:lineRule="auto"/>
        <w:ind w:left="14"/>
        <w:jc w:val="both"/>
      </w:pPr>
      <w:r w:rsidRPr="00F32393">
        <w:t xml:space="preserve">Do przygotowania farb stosować można każdą wodę zdatną do picia. Niedozwolone jest użycie wód ściekowych, kanalizacyjnych, bagiennych, oraz wód zawierające tłuszcze organiczne, oleje i muł. </w:t>
      </w:r>
    </w:p>
    <w:p w:rsidR="009A7DDE" w:rsidRPr="00F32393" w:rsidRDefault="009A7DDE" w:rsidP="00F32393">
      <w:pPr>
        <w:pStyle w:val="Styl"/>
        <w:spacing w:line="276" w:lineRule="auto"/>
        <w:ind w:left="14"/>
        <w:jc w:val="both"/>
      </w:pPr>
    </w:p>
    <w:p w:rsidR="009A7DDE" w:rsidRPr="007A6D3F" w:rsidRDefault="009A7DDE" w:rsidP="00F32393">
      <w:pPr>
        <w:pStyle w:val="Styl"/>
        <w:spacing w:line="276" w:lineRule="auto"/>
        <w:ind w:left="14"/>
        <w:jc w:val="both"/>
        <w:rPr>
          <w:b/>
          <w:sz w:val="26"/>
          <w:szCs w:val="26"/>
        </w:rPr>
      </w:pPr>
      <w:r w:rsidRPr="007A6D3F">
        <w:rPr>
          <w:b/>
          <w:sz w:val="26"/>
          <w:szCs w:val="26"/>
        </w:rPr>
        <w:t xml:space="preserve">2.2 </w:t>
      </w:r>
      <w:r w:rsidRPr="007A6D3F">
        <w:rPr>
          <w:b/>
          <w:bCs/>
          <w:iCs/>
          <w:sz w:val="26"/>
          <w:szCs w:val="26"/>
        </w:rPr>
        <w:t xml:space="preserve">Rozcieńczalniki </w:t>
      </w:r>
    </w:p>
    <w:p w:rsidR="009A7DDE" w:rsidRPr="00F32393" w:rsidRDefault="00A876C8" w:rsidP="00F32393">
      <w:pPr>
        <w:pStyle w:val="Styl"/>
        <w:numPr>
          <w:ilvl w:val="0"/>
          <w:numId w:val="5"/>
        </w:numPr>
        <w:spacing w:line="276" w:lineRule="auto"/>
        <w:jc w:val="both"/>
      </w:pPr>
      <w:r>
        <w:t>W</w:t>
      </w:r>
      <w:r w:rsidR="009A7DDE" w:rsidRPr="00F32393">
        <w:t xml:space="preserve"> zal</w:t>
      </w:r>
      <w:r w:rsidR="00F32393">
        <w:t xml:space="preserve">eżności od rodzajów farb należy </w:t>
      </w:r>
      <w:r w:rsidR="009A7DDE" w:rsidRPr="00F32393">
        <w:t xml:space="preserve">stosować: - terpentynę i benzynę - do farb i emalii olejnych, </w:t>
      </w:r>
    </w:p>
    <w:p w:rsidR="009A7DDE" w:rsidRPr="00F32393" w:rsidRDefault="00A876C8" w:rsidP="001B41FD">
      <w:pPr>
        <w:pStyle w:val="Styl"/>
        <w:numPr>
          <w:ilvl w:val="0"/>
          <w:numId w:val="5"/>
        </w:numPr>
        <w:spacing w:line="276" w:lineRule="auto"/>
        <w:jc w:val="both"/>
      </w:pPr>
      <w:r w:rsidRPr="00F32393">
        <w:t>Inne</w:t>
      </w:r>
      <w:r w:rsidR="009A7DDE" w:rsidRPr="00F32393">
        <w:t xml:space="preserve"> rozcieńczalniki przygotowane fabrycznie dla poszczególnych rodzajów farb powinny odpowiadać normom państwowym lub mieć cechy techniczne zgodne z </w:t>
      </w:r>
      <w:r w:rsidRPr="00F32393">
        <w:t>zaświadczeniem, o jakości</w:t>
      </w:r>
      <w:r w:rsidR="009A7DDE" w:rsidRPr="00F32393">
        <w:t xml:space="preserve"> wydanym przez producenta oraz z zakresem ich stosowania </w:t>
      </w:r>
    </w:p>
    <w:p w:rsidR="009A7DDE" w:rsidRPr="00F32393" w:rsidRDefault="009A7DDE" w:rsidP="00F32393">
      <w:pPr>
        <w:pStyle w:val="Styl"/>
        <w:spacing w:line="276" w:lineRule="auto"/>
        <w:ind w:left="14"/>
        <w:jc w:val="both"/>
      </w:pPr>
    </w:p>
    <w:p w:rsidR="009A7DDE" w:rsidRPr="007A6D3F" w:rsidRDefault="009A7DDE" w:rsidP="00F32393">
      <w:pPr>
        <w:pStyle w:val="Styl"/>
        <w:spacing w:line="276" w:lineRule="auto"/>
        <w:ind w:left="14"/>
        <w:jc w:val="both"/>
        <w:rPr>
          <w:b/>
          <w:sz w:val="26"/>
          <w:szCs w:val="26"/>
        </w:rPr>
      </w:pPr>
      <w:r w:rsidRPr="007A6D3F">
        <w:rPr>
          <w:b/>
          <w:sz w:val="26"/>
          <w:szCs w:val="26"/>
        </w:rPr>
        <w:lastRenderedPageBreak/>
        <w:t xml:space="preserve">2.3 </w:t>
      </w:r>
      <w:r w:rsidRPr="007A6D3F">
        <w:rPr>
          <w:b/>
          <w:bCs/>
          <w:iCs/>
          <w:sz w:val="26"/>
          <w:szCs w:val="26"/>
        </w:rPr>
        <w:t>Farby budowlane gotowe</w:t>
      </w:r>
      <w:r w:rsidRPr="007A6D3F">
        <w:rPr>
          <w:b/>
          <w:sz w:val="26"/>
          <w:szCs w:val="26"/>
        </w:rPr>
        <w:t xml:space="preserve"> </w:t>
      </w:r>
    </w:p>
    <w:p w:rsidR="005F7AD3" w:rsidRDefault="009A7DDE" w:rsidP="00F32393">
      <w:pPr>
        <w:pStyle w:val="Styl"/>
        <w:spacing w:before="4" w:line="276" w:lineRule="auto"/>
        <w:ind w:left="19"/>
        <w:jc w:val="both"/>
      </w:pPr>
      <w:r w:rsidRPr="00F32393">
        <w:t>2.3.1 Farby niezależnie od ich rodzaju powinny odpowiadać wymaganiom norm państwowych lub świadectw dopuszczenia do stosowania w budownictwie.</w:t>
      </w:r>
    </w:p>
    <w:p w:rsidR="009A7DDE" w:rsidRPr="00F32393" w:rsidRDefault="009A7DDE" w:rsidP="00F32393">
      <w:pPr>
        <w:pStyle w:val="Styl"/>
        <w:spacing w:before="4" w:line="276" w:lineRule="auto"/>
        <w:ind w:left="19"/>
        <w:jc w:val="both"/>
      </w:pPr>
      <w:r w:rsidRPr="00F32393">
        <w:t xml:space="preserve">2.3.2 </w:t>
      </w:r>
      <w:r w:rsidRPr="00F32393">
        <w:rPr>
          <w:b/>
          <w:bCs/>
        </w:rPr>
        <w:t>Farby emulsyjne wytwarzane fabrycznie</w:t>
      </w:r>
      <w:r w:rsidRPr="00F32393">
        <w:t xml:space="preserve"> </w:t>
      </w:r>
    </w:p>
    <w:p w:rsidR="00F32393" w:rsidRDefault="009A7DDE" w:rsidP="00AA5629">
      <w:pPr>
        <w:pStyle w:val="Styl"/>
        <w:spacing w:line="276" w:lineRule="auto"/>
        <w:ind w:left="9"/>
        <w:jc w:val="both"/>
      </w:pPr>
      <w:r w:rsidRPr="00F32393">
        <w:t xml:space="preserve">Na tynkach można stosować farby emulsyjne na spoiwach z: polioctanu winylu, lateksu butadieno - styrenowego i innych zgodnie z zasadami podanymi w normach </w:t>
      </w:r>
      <w:r w:rsidRPr="00F32393">
        <w:rPr>
          <w:w w:val="122"/>
        </w:rPr>
        <w:t xml:space="preserve">i </w:t>
      </w:r>
      <w:r w:rsidRPr="00F32393">
        <w:t xml:space="preserve">świadectwach ich dopuszczenia do ITB. </w:t>
      </w:r>
    </w:p>
    <w:p w:rsidR="009A7DDE" w:rsidRPr="00F32393" w:rsidRDefault="009A7DDE" w:rsidP="00CD4B68">
      <w:pPr>
        <w:pStyle w:val="Styl"/>
        <w:spacing w:before="38" w:line="276" w:lineRule="auto"/>
        <w:ind w:left="24"/>
        <w:jc w:val="both"/>
      </w:pPr>
      <w:r w:rsidRPr="00F32393">
        <w:t xml:space="preserve">2.3.3 </w:t>
      </w:r>
      <w:r w:rsidRPr="00F32393">
        <w:rPr>
          <w:b/>
          <w:bCs/>
        </w:rPr>
        <w:t>Wyroby olejne</w:t>
      </w:r>
      <w:r w:rsidRPr="00F32393">
        <w:t xml:space="preserve"> </w:t>
      </w:r>
    </w:p>
    <w:p w:rsidR="009A7DDE" w:rsidRPr="00CD4B68" w:rsidRDefault="009A7DDE" w:rsidP="00CD4B68">
      <w:pPr>
        <w:pStyle w:val="Styl"/>
        <w:numPr>
          <w:ilvl w:val="0"/>
          <w:numId w:val="6"/>
        </w:numPr>
        <w:spacing w:line="276" w:lineRule="auto"/>
        <w:jc w:val="both"/>
      </w:pPr>
      <w:r w:rsidRPr="00CD4B68">
        <w:t xml:space="preserve"> </w:t>
      </w:r>
      <w:r w:rsidR="00A876C8" w:rsidRPr="00CD4B68">
        <w:t>Emalia</w:t>
      </w:r>
      <w:r w:rsidRPr="00CD4B68">
        <w:t xml:space="preserve"> olejna</w:t>
      </w:r>
      <w:r w:rsidR="00F32393" w:rsidRPr="00CD4B68">
        <w:t xml:space="preserve"> stosowania </w:t>
      </w:r>
      <w:r w:rsidRPr="00CD4B68">
        <w:t>wydajność - 6-10 m</w:t>
      </w:r>
      <w:r w:rsidRPr="00CD4B68">
        <w:rPr>
          <w:vertAlign w:val="superscript"/>
        </w:rPr>
        <w:t>2</w:t>
      </w:r>
      <w:r w:rsidRPr="00CD4B68">
        <w:rPr>
          <w:w w:val="119"/>
        </w:rPr>
        <w:t xml:space="preserve">/ </w:t>
      </w:r>
      <w:r w:rsidRPr="00CD4B68">
        <w:t>dm</w:t>
      </w:r>
      <w:r w:rsidRPr="00CD4B68">
        <w:rPr>
          <w:vertAlign w:val="superscript"/>
        </w:rPr>
        <w:t>3</w:t>
      </w:r>
      <w:r w:rsidRPr="00CD4B68">
        <w:rPr>
          <w:w w:val="119"/>
        </w:rPr>
        <w:t xml:space="preserve">, </w:t>
      </w:r>
      <w:r w:rsidR="00F32393" w:rsidRPr="00CD4B68">
        <w:t>max. c</w:t>
      </w:r>
      <w:r w:rsidRPr="00CD4B68">
        <w:t xml:space="preserve">zas schnięcia - 24h </w:t>
      </w:r>
    </w:p>
    <w:p w:rsidR="009A7DDE" w:rsidRPr="00CD4B68" w:rsidRDefault="009A7DDE" w:rsidP="00CD4B68">
      <w:pPr>
        <w:pStyle w:val="Styl"/>
        <w:numPr>
          <w:ilvl w:val="0"/>
          <w:numId w:val="6"/>
        </w:numPr>
        <w:spacing w:line="276" w:lineRule="auto"/>
        <w:jc w:val="both"/>
        <w:rPr>
          <w:w w:val="123"/>
        </w:rPr>
      </w:pPr>
      <w:r w:rsidRPr="00CD4B68">
        <w:t xml:space="preserve"> </w:t>
      </w:r>
      <w:r w:rsidR="00A876C8" w:rsidRPr="00CD4B68">
        <w:t>Farba</w:t>
      </w:r>
      <w:r w:rsidRPr="00CD4B68">
        <w:t xml:space="preserve"> olejna</w:t>
      </w:r>
      <w:r w:rsidR="00CD4B68">
        <w:t xml:space="preserve"> do </w:t>
      </w:r>
      <w:r w:rsidR="00A876C8">
        <w:t xml:space="preserve">gruntowania </w:t>
      </w:r>
      <w:r w:rsidR="00A876C8" w:rsidRPr="00CD4B68">
        <w:t>- wydajność</w:t>
      </w:r>
      <w:r w:rsidRPr="00CD4B68">
        <w:t xml:space="preserve"> -15-16 m</w:t>
      </w:r>
      <w:r w:rsidRPr="00CD4B68">
        <w:rPr>
          <w:vertAlign w:val="superscript"/>
        </w:rPr>
        <w:t>2</w:t>
      </w:r>
      <w:r w:rsidRPr="00CD4B68">
        <w:rPr>
          <w:w w:val="123"/>
        </w:rPr>
        <w:t xml:space="preserve">/ </w:t>
      </w:r>
      <w:r w:rsidRPr="00CD4B68">
        <w:t>dm</w:t>
      </w:r>
      <w:r w:rsidRPr="00CD4B68">
        <w:rPr>
          <w:vertAlign w:val="superscript"/>
        </w:rPr>
        <w:t>3</w:t>
      </w:r>
      <w:r w:rsidR="00CD4B68" w:rsidRPr="00CD4B68">
        <w:rPr>
          <w:w w:val="123"/>
        </w:rPr>
        <w:t xml:space="preserve">, </w:t>
      </w:r>
      <w:r w:rsidR="00F32393" w:rsidRPr="00CD4B68">
        <w:t>max. c</w:t>
      </w:r>
      <w:r w:rsidRPr="00CD4B68">
        <w:t xml:space="preserve">zas schnięcia - 8h </w:t>
      </w:r>
    </w:p>
    <w:p w:rsidR="009A7DDE" w:rsidRPr="00CD4B68" w:rsidRDefault="009A7DDE" w:rsidP="00CD4B68">
      <w:pPr>
        <w:pStyle w:val="Styl"/>
        <w:numPr>
          <w:ilvl w:val="0"/>
          <w:numId w:val="6"/>
        </w:numPr>
        <w:spacing w:line="276" w:lineRule="auto"/>
        <w:jc w:val="both"/>
      </w:pPr>
      <w:r w:rsidRPr="00CD4B68">
        <w:t xml:space="preserve"> </w:t>
      </w:r>
      <w:r w:rsidR="00A876C8" w:rsidRPr="00CD4B68">
        <w:t>Kit</w:t>
      </w:r>
      <w:r w:rsidRPr="00CD4B68">
        <w:t xml:space="preserve"> szpachlowy ogólnego stosowania - biały do wygładzania podkładu pod powłoki olejne</w:t>
      </w:r>
    </w:p>
    <w:p w:rsidR="009A7DDE" w:rsidRPr="00CD4B68" w:rsidRDefault="00A876C8" w:rsidP="00CD4B68">
      <w:pPr>
        <w:pStyle w:val="Styl"/>
        <w:numPr>
          <w:ilvl w:val="0"/>
          <w:numId w:val="6"/>
        </w:numPr>
        <w:spacing w:before="4" w:line="276" w:lineRule="auto"/>
        <w:jc w:val="both"/>
      </w:pPr>
      <w:r w:rsidRPr="00CD4B68">
        <w:t>Rozcieńczalnik</w:t>
      </w:r>
      <w:r w:rsidR="009A7DDE" w:rsidRPr="00CD4B68">
        <w:t xml:space="preserve"> do wyrobów olejnych ogólnego stosowania - biały do rozcieńczania wyrobów olejnych</w:t>
      </w:r>
    </w:p>
    <w:p w:rsidR="009A7DDE" w:rsidRPr="00CD4B68" w:rsidRDefault="009A7DDE" w:rsidP="00F32393">
      <w:pPr>
        <w:pStyle w:val="Styl"/>
        <w:spacing w:line="230" w:lineRule="exact"/>
        <w:ind w:left="24"/>
        <w:jc w:val="both"/>
      </w:pPr>
    </w:p>
    <w:p w:rsidR="009A7DDE" w:rsidRPr="00CD4B68" w:rsidRDefault="009A7DDE" w:rsidP="00CD4B68">
      <w:pPr>
        <w:pStyle w:val="Styl"/>
        <w:spacing w:line="276" w:lineRule="auto"/>
        <w:ind w:left="24"/>
        <w:jc w:val="both"/>
      </w:pPr>
      <w:r w:rsidRPr="00CD4B68">
        <w:t xml:space="preserve">2.3.4 </w:t>
      </w:r>
      <w:r w:rsidRPr="00CD4B68">
        <w:rPr>
          <w:b/>
          <w:bCs/>
        </w:rPr>
        <w:t xml:space="preserve">Farby olejne </w:t>
      </w:r>
    </w:p>
    <w:p w:rsidR="009A7DDE" w:rsidRPr="00CD4B68" w:rsidRDefault="009A7DDE" w:rsidP="00CD4B68">
      <w:pPr>
        <w:pStyle w:val="Styl"/>
        <w:numPr>
          <w:ilvl w:val="0"/>
          <w:numId w:val="8"/>
        </w:numPr>
        <w:spacing w:before="9" w:line="276" w:lineRule="auto"/>
        <w:jc w:val="both"/>
      </w:pPr>
      <w:r w:rsidRPr="00CD4B68">
        <w:t xml:space="preserve"> </w:t>
      </w:r>
      <w:r w:rsidR="00A876C8" w:rsidRPr="00CD4B68">
        <w:t>Farba</w:t>
      </w:r>
      <w:r w:rsidRPr="00CD4B68">
        <w:t xml:space="preserve"> olejna do gruntowania ogólnego s</w:t>
      </w:r>
      <w:r w:rsidR="001D2564">
        <w:t>tosowania wg PN-C-</w:t>
      </w:r>
      <w:r w:rsidR="00A876C8">
        <w:t>81900: 1997 wydajność</w:t>
      </w:r>
      <w:r w:rsidRPr="00CD4B68">
        <w:t xml:space="preserve"> - 6-8 m</w:t>
      </w:r>
      <w:r w:rsidRPr="00CD4B68">
        <w:rPr>
          <w:vertAlign w:val="superscript"/>
        </w:rPr>
        <w:t>2</w:t>
      </w:r>
      <w:r w:rsidRPr="00CD4B68">
        <w:rPr>
          <w:w w:val="133"/>
        </w:rPr>
        <w:t xml:space="preserve">/ </w:t>
      </w:r>
      <w:r w:rsidRPr="00CD4B68">
        <w:t>dm</w:t>
      </w:r>
      <w:r w:rsidRPr="00CD4B68">
        <w:rPr>
          <w:vertAlign w:val="superscript"/>
        </w:rPr>
        <w:t>3</w:t>
      </w:r>
      <w:r w:rsidR="00F32393" w:rsidRPr="00CD4B68">
        <w:t xml:space="preserve"> max. c</w:t>
      </w:r>
      <w:r w:rsidRPr="00CD4B68">
        <w:t xml:space="preserve">zas schnięcia - 12h </w:t>
      </w:r>
    </w:p>
    <w:p w:rsidR="009A7DDE" w:rsidRDefault="009A7DDE" w:rsidP="00CD4B68">
      <w:pPr>
        <w:pStyle w:val="Styl"/>
        <w:numPr>
          <w:ilvl w:val="0"/>
          <w:numId w:val="8"/>
        </w:numPr>
        <w:spacing w:before="14" w:line="276" w:lineRule="auto"/>
        <w:jc w:val="both"/>
      </w:pPr>
      <w:r w:rsidRPr="00CD4B68">
        <w:t xml:space="preserve"> </w:t>
      </w:r>
      <w:r w:rsidR="00A876C8" w:rsidRPr="00CD4B68">
        <w:t>Farby</w:t>
      </w:r>
      <w:r w:rsidRPr="00CD4B68">
        <w:t xml:space="preserve"> olejne i alkidowe nawierzchniowe ogólnego stosowania wg </w:t>
      </w:r>
      <w:r w:rsidR="00A876C8" w:rsidRPr="00CD4B68">
        <w:t>PN-C-81901: 2002 wydajność</w:t>
      </w:r>
      <w:r w:rsidRPr="00CD4B68">
        <w:t xml:space="preserve"> 6 - 10 m</w:t>
      </w:r>
      <w:r w:rsidRPr="00CD4B68">
        <w:rPr>
          <w:vertAlign w:val="superscript"/>
        </w:rPr>
        <w:t>2</w:t>
      </w:r>
      <w:r w:rsidRPr="00CD4B68">
        <w:rPr>
          <w:w w:val="127"/>
        </w:rPr>
        <w:t xml:space="preserve">/ </w:t>
      </w:r>
      <w:r w:rsidRPr="00CD4B68">
        <w:t>dm</w:t>
      </w:r>
      <w:r w:rsidRPr="00CD4B68">
        <w:rPr>
          <w:vertAlign w:val="superscript"/>
        </w:rPr>
        <w:t>3</w:t>
      </w:r>
      <w:r w:rsidRPr="00CD4B68">
        <w:t xml:space="preserve"> </w:t>
      </w:r>
    </w:p>
    <w:p w:rsidR="00E72B22" w:rsidRDefault="00E72B22" w:rsidP="00E72B22">
      <w:pPr>
        <w:pStyle w:val="Styl"/>
        <w:spacing w:before="14" w:line="276" w:lineRule="auto"/>
        <w:jc w:val="both"/>
      </w:pPr>
    </w:p>
    <w:p w:rsidR="00BC0963" w:rsidRDefault="00E72B22" w:rsidP="00E72B22">
      <w:pPr>
        <w:pStyle w:val="Styl"/>
        <w:spacing w:before="14" w:line="276" w:lineRule="auto"/>
        <w:jc w:val="both"/>
        <w:rPr>
          <w:b/>
        </w:rPr>
      </w:pPr>
      <w:r>
        <w:t xml:space="preserve">2.3.5 </w:t>
      </w:r>
      <w:r w:rsidR="00BC0963">
        <w:rPr>
          <w:b/>
        </w:rPr>
        <w:t xml:space="preserve">Zestaw farb ogniochronnych </w:t>
      </w:r>
      <w:r w:rsidR="00AC165D">
        <w:rPr>
          <w:b/>
        </w:rPr>
        <w:t>–</w:t>
      </w:r>
      <w:r w:rsidR="00BC0963">
        <w:rPr>
          <w:b/>
        </w:rPr>
        <w:t xml:space="preserve"> bezbarwne</w:t>
      </w:r>
    </w:p>
    <w:p w:rsidR="00AC165D" w:rsidRDefault="00AC165D" w:rsidP="00E72B22">
      <w:pPr>
        <w:pStyle w:val="Styl"/>
        <w:spacing w:before="14" w:line="276" w:lineRule="auto"/>
        <w:jc w:val="both"/>
        <w:rPr>
          <w:b/>
        </w:rPr>
      </w:pPr>
    </w:p>
    <w:p w:rsidR="00AC165D" w:rsidRPr="00D65C52" w:rsidRDefault="00A876C8" w:rsidP="00AC165D">
      <w:pPr>
        <w:pStyle w:val="Styl"/>
        <w:numPr>
          <w:ilvl w:val="0"/>
          <w:numId w:val="16"/>
        </w:numPr>
        <w:spacing w:before="14" w:line="276" w:lineRule="auto"/>
        <w:jc w:val="both"/>
      </w:pPr>
      <w:r w:rsidRPr="00D65C52">
        <w:t>Zestaw</w:t>
      </w:r>
      <w:r w:rsidR="00AC165D">
        <w:t xml:space="preserve"> sklasyfikowany w klasie B-s1, d0 reakcji na ogień wg PN-EN 13501-1+A</w:t>
      </w:r>
      <w:r>
        <w:t>1: 2010 oraz</w:t>
      </w:r>
      <w:r w:rsidR="00AC165D">
        <w:t xml:space="preserve"> jako niezapalne, niekapiące i nierozprzestrzeniające ognia</w:t>
      </w:r>
    </w:p>
    <w:p w:rsidR="00BC0963" w:rsidRPr="00BC0963" w:rsidRDefault="00A876C8" w:rsidP="00BC0963">
      <w:pPr>
        <w:pStyle w:val="Styl"/>
        <w:numPr>
          <w:ilvl w:val="0"/>
          <w:numId w:val="16"/>
        </w:numPr>
        <w:spacing w:before="14" w:line="276" w:lineRule="auto"/>
        <w:jc w:val="both"/>
        <w:rPr>
          <w:b/>
        </w:rPr>
      </w:pPr>
      <w:r>
        <w:t>Farba</w:t>
      </w:r>
      <w:r w:rsidR="00BC0963">
        <w:t xml:space="preserve"> do wykonania pęczniejącej warstwy ochronnej</w:t>
      </w:r>
      <w:r w:rsidR="006C1350">
        <w:t xml:space="preserve"> – zużycie powinno wynosić 350 g/m</w:t>
      </w:r>
      <w:r w:rsidR="006C1350">
        <w:rPr>
          <w:vertAlign w:val="superscript"/>
        </w:rPr>
        <w:t>2</w:t>
      </w:r>
      <w:r w:rsidR="006C1350">
        <w:t>, czas schnięcia ok. 6 h</w:t>
      </w:r>
    </w:p>
    <w:p w:rsidR="006C1350" w:rsidRPr="00AC165D" w:rsidRDefault="00A876C8" w:rsidP="006C1350">
      <w:pPr>
        <w:pStyle w:val="Styl"/>
        <w:numPr>
          <w:ilvl w:val="0"/>
          <w:numId w:val="16"/>
        </w:numPr>
        <w:spacing w:before="14" w:line="276" w:lineRule="auto"/>
        <w:jc w:val="both"/>
        <w:rPr>
          <w:b/>
        </w:rPr>
      </w:pPr>
      <w:r>
        <w:t>Farba</w:t>
      </w:r>
      <w:r w:rsidR="00BC0963">
        <w:t xml:space="preserve"> do wykonania warstwy </w:t>
      </w:r>
      <w:r>
        <w:t>nawierzchniowej - zużycie</w:t>
      </w:r>
      <w:r w:rsidR="006C1350">
        <w:t xml:space="preserve"> powinno </w:t>
      </w:r>
      <w:r>
        <w:t>wynosić 50 g</w:t>
      </w:r>
      <w:r w:rsidR="006C1350">
        <w:t>/m</w:t>
      </w:r>
      <w:r w:rsidR="006C1350">
        <w:rPr>
          <w:vertAlign w:val="superscript"/>
        </w:rPr>
        <w:t>2</w:t>
      </w:r>
      <w:r w:rsidR="006C1350">
        <w:t>, czas schnięcia ok. 2 h</w:t>
      </w:r>
    </w:p>
    <w:p w:rsidR="00AC165D" w:rsidRPr="00AC165D" w:rsidRDefault="00A876C8" w:rsidP="006C1350">
      <w:pPr>
        <w:pStyle w:val="Styl"/>
        <w:numPr>
          <w:ilvl w:val="0"/>
          <w:numId w:val="16"/>
        </w:numPr>
        <w:spacing w:before="14" w:line="276" w:lineRule="auto"/>
        <w:jc w:val="both"/>
        <w:rPr>
          <w:b/>
        </w:rPr>
      </w:pPr>
      <w:r>
        <w:t>Farby</w:t>
      </w:r>
      <w:r w:rsidR="00AC165D">
        <w:t xml:space="preserve"> powinny być przechowywane w suchych, wentylowanych z dala od środków spożywczych w pomieszczeniach w sposób zabezpieczający opakowania przed uszkodzeniem.</w:t>
      </w:r>
    </w:p>
    <w:p w:rsidR="00AC165D" w:rsidRPr="00BC0963" w:rsidRDefault="00AC165D" w:rsidP="006C1350">
      <w:pPr>
        <w:pStyle w:val="Styl"/>
        <w:numPr>
          <w:ilvl w:val="0"/>
          <w:numId w:val="16"/>
        </w:numPr>
        <w:spacing w:before="14" w:line="276" w:lineRule="auto"/>
        <w:jc w:val="both"/>
        <w:rPr>
          <w:b/>
        </w:rPr>
      </w:pPr>
      <w:r>
        <w:t xml:space="preserve">Farby ogniochronne należy transportować w sposób zabezpieczający opakowania </w:t>
      </w:r>
      <w:r w:rsidR="00A876C8">
        <w:t>przed przesuwaniem</w:t>
      </w:r>
      <w:r>
        <w:t xml:space="preserve"> się podczas jazdy</w:t>
      </w:r>
    </w:p>
    <w:p w:rsidR="00F32393" w:rsidRPr="00CD4B68" w:rsidRDefault="00F32393" w:rsidP="004A0CC7">
      <w:pPr>
        <w:pStyle w:val="Styl"/>
        <w:spacing w:line="276" w:lineRule="auto"/>
        <w:jc w:val="both"/>
      </w:pPr>
    </w:p>
    <w:p w:rsidR="009A7DDE" w:rsidRPr="00CD4B68" w:rsidRDefault="009A7DDE" w:rsidP="00AA5629">
      <w:pPr>
        <w:pStyle w:val="Styl"/>
        <w:spacing w:line="276" w:lineRule="auto"/>
        <w:jc w:val="both"/>
      </w:pPr>
      <w:r w:rsidRPr="00CD4B68">
        <w:t xml:space="preserve">2.3.6 </w:t>
      </w:r>
      <w:r w:rsidRPr="00CD4B68">
        <w:rPr>
          <w:b/>
          <w:bCs/>
        </w:rPr>
        <w:t xml:space="preserve">Farby akrylowe do malowania powierzchni </w:t>
      </w:r>
      <w:r w:rsidRPr="00CD4B68">
        <w:t xml:space="preserve"> </w:t>
      </w:r>
    </w:p>
    <w:p w:rsidR="009A7DDE" w:rsidRPr="00CD4B68" w:rsidRDefault="00A876C8" w:rsidP="00CD4B68">
      <w:pPr>
        <w:pStyle w:val="Styl"/>
        <w:spacing w:line="276" w:lineRule="auto"/>
        <w:ind w:left="9"/>
        <w:jc w:val="both"/>
      </w:pPr>
      <w:r w:rsidRPr="00CD4B68">
        <w:t>Wymagania</w:t>
      </w:r>
      <w:r w:rsidR="009A7DDE" w:rsidRPr="00CD4B68">
        <w:t xml:space="preserve"> dla farb: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</w:t>
      </w:r>
      <w:r w:rsidR="00A876C8" w:rsidRPr="00CD4B68">
        <w:t>Lepkość</w:t>
      </w:r>
      <w:r w:rsidRPr="00CD4B68">
        <w:t xml:space="preserve"> umowna: min. 60 </w:t>
      </w:r>
    </w:p>
    <w:p w:rsidR="009A7DDE" w:rsidRPr="00CD4B68" w:rsidRDefault="00CD4B68" w:rsidP="00CD4B68">
      <w:pPr>
        <w:pStyle w:val="Styl"/>
        <w:numPr>
          <w:ilvl w:val="0"/>
          <w:numId w:val="9"/>
        </w:numPr>
        <w:spacing w:line="276" w:lineRule="auto"/>
        <w:jc w:val="both"/>
      </w:pPr>
      <w:r>
        <w:t xml:space="preserve"> </w:t>
      </w:r>
      <w:r w:rsidR="00A876C8" w:rsidRPr="00CD4B68">
        <w:t>Gęstość</w:t>
      </w:r>
      <w:r w:rsidR="009A7DDE" w:rsidRPr="00CD4B68">
        <w:t xml:space="preserve">: max 1,6g/cm3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</w:t>
      </w:r>
      <w:r w:rsidR="00A876C8" w:rsidRPr="00CD4B68">
        <w:t>Zawartość</w:t>
      </w:r>
      <w:r w:rsidRPr="00CD4B68">
        <w:t xml:space="preserve"> substancji lotnych % masy max 40%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lastRenderedPageBreak/>
        <w:t xml:space="preserve"> </w:t>
      </w:r>
      <w:r w:rsidR="00A876C8" w:rsidRPr="00CD4B68">
        <w:t>Roztarcie</w:t>
      </w:r>
      <w:r w:rsidRPr="00CD4B68">
        <w:t xml:space="preserve"> pigmentów: max. 90m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tabs>
          <w:tab w:val="left" w:pos="8270"/>
        </w:tabs>
        <w:spacing w:line="276" w:lineRule="auto"/>
        <w:jc w:val="both"/>
      </w:pPr>
      <w:r w:rsidRPr="00CD4B68">
        <w:t xml:space="preserve"> </w:t>
      </w:r>
      <w:r w:rsidR="00A876C8" w:rsidRPr="00CD4B68">
        <w:t>Czas</w:t>
      </w:r>
      <w:r w:rsidRPr="00CD4B68">
        <w:t xml:space="preserve"> schnięcia powłoki w temp. </w:t>
      </w:r>
      <w:smartTag w:uri="urn:schemas-microsoft-com:office:smarttags" w:element="metricconverter">
        <w:smartTagPr>
          <w:attr w:name="ProductID" w:val="20ﾰC"/>
        </w:smartTagPr>
        <w:r w:rsidRPr="00CD4B68">
          <w:t>20°C</w:t>
        </w:r>
      </w:smartTag>
      <w:r w:rsidRPr="00CD4B68">
        <w:t xml:space="preserve"> </w:t>
      </w:r>
      <w:r w:rsidRPr="00CD4B68">
        <w:rPr>
          <w:w w:val="141"/>
        </w:rPr>
        <w:t xml:space="preserve">i </w:t>
      </w:r>
      <w:r w:rsidRPr="00CD4B68">
        <w:t>w</w:t>
      </w:r>
      <w:r w:rsidR="00CD4B68">
        <w:t xml:space="preserve">ilg. </w:t>
      </w:r>
      <w:r w:rsidR="00A876C8">
        <w:t>względnej</w:t>
      </w:r>
      <w:r w:rsidR="00CD4B68">
        <w:t xml:space="preserve"> powietrza 65% do </w:t>
      </w:r>
      <w:r w:rsidRPr="00CD4B68">
        <w:t>osiągnięcia 5 stopnia wyschnięci</w:t>
      </w:r>
      <w:r w:rsidR="00CD4B68">
        <w:t>a - max 2h wymagania dla powłok</w:t>
      </w:r>
      <w:r w:rsidRPr="00CD4B68">
        <w:t xml:space="preserve">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wygląd zewnętrzny - gładka, matowa, bez pomarszczeń i zacieków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grubość -100-120 IJm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przyczepność do podłoża - 1 stopień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elastyczność - zgięta powłoka na sworzniu o średnicy 3mm, nie wykazuje </w:t>
      </w:r>
      <w:r w:rsidR="00CD4B68">
        <w:t xml:space="preserve">   </w:t>
      </w:r>
      <w:r w:rsidRPr="00CD4B68">
        <w:t xml:space="preserve">pęknięć lub odstawania od podłoża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twardość względna - min 0,1 </w:t>
      </w:r>
    </w:p>
    <w:p w:rsidR="009A7DDE" w:rsidRPr="00CD4B68" w:rsidRDefault="009A7DDE" w:rsidP="00CD4B68">
      <w:pPr>
        <w:pStyle w:val="Styl"/>
        <w:numPr>
          <w:ilvl w:val="0"/>
          <w:numId w:val="9"/>
        </w:numPr>
        <w:spacing w:line="276" w:lineRule="auto"/>
        <w:jc w:val="both"/>
      </w:pPr>
      <w:r w:rsidRPr="00CD4B68">
        <w:t xml:space="preserve"> odporność na uderzenia - masa 0,5kg spadająca z wysokości 1,Om nie powinna powodować uszkodzeń powłoki </w:t>
      </w:r>
    </w:p>
    <w:p w:rsidR="009A7DDE" w:rsidRPr="00CD4B68" w:rsidRDefault="009A7DDE" w:rsidP="00AA5629">
      <w:pPr>
        <w:pStyle w:val="Styl"/>
        <w:numPr>
          <w:ilvl w:val="0"/>
          <w:numId w:val="9"/>
        </w:numPr>
        <w:spacing w:before="14" w:line="276" w:lineRule="auto"/>
        <w:jc w:val="both"/>
      </w:pPr>
      <w:r w:rsidRPr="00CD4B68">
        <w:t xml:space="preserve"> odporność na działanie wody - po 120h zanurzenia w wodzie nie może</w:t>
      </w:r>
      <w:r w:rsidR="00AA5629">
        <w:t xml:space="preserve"> </w:t>
      </w:r>
      <w:r w:rsidRPr="00CD4B68">
        <w:t xml:space="preserve">występować spęcherzenie powłoki. </w:t>
      </w:r>
    </w:p>
    <w:p w:rsidR="009A7DDE" w:rsidRPr="00AC165D" w:rsidRDefault="009A7DDE" w:rsidP="00CD4B68">
      <w:pPr>
        <w:pStyle w:val="Styl"/>
        <w:spacing w:before="14" w:line="276" w:lineRule="auto"/>
        <w:ind w:left="4"/>
        <w:jc w:val="both"/>
      </w:pPr>
      <w:r w:rsidRPr="00CD4B68">
        <w:t>Farby powinny być pakow</w:t>
      </w:r>
      <w:r w:rsidR="001B41FD">
        <w:t xml:space="preserve">ane zgodnie z BN-87/5046-02 </w:t>
      </w:r>
      <w:r w:rsidRPr="00CD4B68">
        <w:t xml:space="preserve"> w bębny lekkie lub </w:t>
      </w:r>
      <w:r w:rsidRPr="00AC165D">
        <w:t>wiaderka</w:t>
      </w:r>
      <w:r w:rsidR="00CD4B68" w:rsidRPr="00AC165D">
        <w:t xml:space="preserve"> stożkowe wg BN-82/5046-05 </w:t>
      </w:r>
      <w:r w:rsidRPr="00AC165D">
        <w:t xml:space="preserve"> i przechowywane w temp. Min. +</w:t>
      </w:r>
      <w:smartTag w:uri="urn:schemas-microsoft-com:office:smarttags" w:element="metricconverter">
        <w:smartTagPr>
          <w:attr w:name="ProductID" w:val="5ﾰC"/>
        </w:smartTagPr>
        <w:r w:rsidRPr="00AC165D">
          <w:t>5°C</w:t>
        </w:r>
      </w:smartTag>
      <w:r w:rsidRPr="00AC165D">
        <w:t xml:space="preserve"> wg PN-73/C-81400 </w:t>
      </w:r>
    </w:p>
    <w:p w:rsidR="00CD4B68" w:rsidRDefault="00CD4B68" w:rsidP="00F32393">
      <w:pPr>
        <w:pStyle w:val="Styl"/>
        <w:spacing w:line="259" w:lineRule="exact"/>
        <w:ind w:left="14"/>
        <w:jc w:val="both"/>
        <w:rPr>
          <w:sz w:val="21"/>
          <w:szCs w:val="21"/>
        </w:rPr>
      </w:pPr>
    </w:p>
    <w:p w:rsidR="009A7DDE" w:rsidRPr="00CD4B68" w:rsidRDefault="009A7DDE" w:rsidP="00F32393">
      <w:pPr>
        <w:pStyle w:val="Styl"/>
        <w:spacing w:line="259" w:lineRule="exact"/>
        <w:ind w:left="14"/>
        <w:jc w:val="both"/>
        <w:rPr>
          <w:b/>
          <w:sz w:val="26"/>
          <w:szCs w:val="26"/>
        </w:rPr>
      </w:pPr>
      <w:r w:rsidRPr="00CD4B68">
        <w:rPr>
          <w:b/>
          <w:sz w:val="26"/>
          <w:szCs w:val="26"/>
        </w:rPr>
        <w:t xml:space="preserve">2.4 </w:t>
      </w:r>
      <w:r w:rsidRPr="00CD4B68">
        <w:rPr>
          <w:b/>
          <w:bCs/>
          <w:iCs/>
          <w:sz w:val="26"/>
          <w:szCs w:val="26"/>
        </w:rPr>
        <w:t>Środki gruntujące</w:t>
      </w:r>
      <w:r w:rsidRPr="00CD4B68">
        <w:rPr>
          <w:b/>
          <w:sz w:val="26"/>
          <w:szCs w:val="26"/>
        </w:rPr>
        <w:t xml:space="preserve"> </w:t>
      </w:r>
    </w:p>
    <w:p w:rsidR="00F7257D" w:rsidRDefault="00F7257D" w:rsidP="00CD4B68">
      <w:pPr>
        <w:pStyle w:val="Styl"/>
        <w:spacing w:line="276" w:lineRule="auto"/>
        <w:ind w:left="14"/>
        <w:jc w:val="both"/>
        <w:rPr>
          <w:b/>
        </w:rPr>
      </w:pPr>
    </w:p>
    <w:p w:rsidR="009A7DDE" w:rsidRPr="00CD4B68" w:rsidRDefault="009A7DDE" w:rsidP="00CD4B68">
      <w:pPr>
        <w:pStyle w:val="Styl"/>
        <w:spacing w:line="276" w:lineRule="auto"/>
        <w:ind w:left="14"/>
        <w:jc w:val="both"/>
        <w:rPr>
          <w:b/>
        </w:rPr>
      </w:pPr>
      <w:r w:rsidRPr="00CD4B68">
        <w:rPr>
          <w:b/>
        </w:rPr>
        <w:t xml:space="preserve">2.4.1 przy malowaniu farbami emulsyjnymi: </w:t>
      </w:r>
    </w:p>
    <w:p w:rsidR="009A7DDE" w:rsidRPr="00CD4B68" w:rsidRDefault="009A7DDE" w:rsidP="00CD4B68">
      <w:pPr>
        <w:pStyle w:val="Styl"/>
        <w:spacing w:before="4" w:line="276" w:lineRule="auto"/>
        <w:ind w:left="4"/>
        <w:jc w:val="both"/>
      </w:pPr>
      <w:r w:rsidRPr="00CD4B68">
        <w:t xml:space="preserve">- powierzchni betonowych lub tynków zwykłych nie zaleca się gruntowania, o ile świadectwo dopuszczenia nowego rodzaju farby emulsyjnej nie podaje inaczej - na chłodnych podłożach należy stosować do gruntowania farbę emulsyjną rozcieńczoną wodą w stosunku 1:3 - 5 z tego samego rodzaju farby z jakiej przewiduje się wykonanie powłoki malarskiej </w:t>
      </w:r>
    </w:p>
    <w:p w:rsidR="00CD4B68" w:rsidRDefault="00CD4B68" w:rsidP="00CD4B68">
      <w:pPr>
        <w:pStyle w:val="Styl"/>
        <w:spacing w:line="276" w:lineRule="auto"/>
        <w:ind w:left="4"/>
        <w:jc w:val="both"/>
        <w:rPr>
          <w:b/>
        </w:rPr>
      </w:pPr>
    </w:p>
    <w:p w:rsidR="009A7DDE" w:rsidRPr="00FB26D2" w:rsidRDefault="009A7DDE" w:rsidP="00FB26D2">
      <w:pPr>
        <w:pStyle w:val="Styl"/>
        <w:spacing w:line="276" w:lineRule="auto"/>
        <w:ind w:left="4"/>
        <w:jc w:val="both"/>
        <w:rPr>
          <w:rFonts w:ascii="Times New Roman" w:hAnsi="Times New Roman" w:cs="Times New Roman"/>
        </w:rPr>
      </w:pPr>
      <w:r w:rsidRPr="00CD4B68">
        <w:rPr>
          <w:b/>
        </w:rPr>
        <w:t>2.4.2 przy malowaniu farbami olejnymi i syntetycznymi powierzchnię należy</w:t>
      </w:r>
      <w:r w:rsidRPr="00CD4B68">
        <w:t xml:space="preserve"> zagruntować rozcieńczonym pokostem 1: 1 (pokost: benzyna lakiernicza). </w:t>
      </w:r>
    </w:p>
    <w:p w:rsidR="00F05793" w:rsidRPr="00FB26D2" w:rsidRDefault="00CD4B68" w:rsidP="00FB26D2">
      <w:pPr>
        <w:pStyle w:val="Nagwek1"/>
        <w:rPr>
          <w:rFonts w:ascii="Arial" w:hAnsi="Arial" w:cs="Arial"/>
          <w:color w:val="auto"/>
        </w:rPr>
      </w:pPr>
      <w:bookmarkStart w:id="4" w:name="_Toc198206076"/>
      <w:r w:rsidRPr="00FB26D2">
        <w:rPr>
          <w:rFonts w:ascii="Arial" w:hAnsi="Arial" w:cs="Arial"/>
          <w:color w:val="auto"/>
        </w:rPr>
        <w:t>3. SPRZĘT</w:t>
      </w:r>
      <w:bookmarkEnd w:id="4"/>
    </w:p>
    <w:p w:rsidR="009A7DDE" w:rsidRPr="00F05793" w:rsidRDefault="009A7DDE" w:rsidP="009A7DDE">
      <w:pPr>
        <w:pStyle w:val="Styl"/>
        <w:spacing w:line="259" w:lineRule="exact"/>
        <w:ind w:left="14" w:right="9"/>
        <w:rPr>
          <w:b/>
          <w:bCs/>
          <w:sz w:val="28"/>
          <w:szCs w:val="28"/>
        </w:rPr>
      </w:pPr>
      <w:r w:rsidRPr="00F05793">
        <w:rPr>
          <w:b/>
          <w:bCs/>
          <w:sz w:val="28"/>
          <w:szCs w:val="28"/>
        </w:rPr>
        <w:t xml:space="preserve"> </w:t>
      </w:r>
    </w:p>
    <w:p w:rsidR="009A7DDE" w:rsidRPr="00FB26D2" w:rsidRDefault="009A7DDE" w:rsidP="009A7DDE">
      <w:pPr>
        <w:pStyle w:val="Styl"/>
        <w:spacing w:line="254" w:lineRule="exact"/>
        <w:ind w:right="1708"/>
      </w:pPr>
      <w:r w:rsidRPr="001B41FD">
        <w:t>3.1 Roboty można wykonać przy użyciu pędzli lub wałków</w:t>
      </w:r>
    </w:p>
    <w:p w:rsidR="009A7DDE" w:rsidRPr="00FB26D2" w:rsidRDefault="00F05793" w:rsidP="00FB26D2">
      <w:pPr>
        <w:pStyle w:val="Nagwek1"/>
        <w:rPr>
          <w:rFonts w:ascii="Arial" w:hAnsi="Arial" w:cs="Arial"/>
          <w:color w:val="auto"/>
        </w:rPr>
      </w:pPr>
      <w:bookmarkStart w:id="5" w:name="_Toc198206077"/>
      <w:r w:rsidRPr="00FB26D2">
        <w:rPr>
          <w:rFonts w:ascii="Arial" w:hAnsi="Arial" w:cs="Arial"/>
          <w:color w:val="auto"/>
        </w:rPr>
        <w:t>4. TRANSPORT</w:t>
      </w:r>
      <w:bookmarkEnd w:id="5"/>
      <w:r w:rsidR="009A7DDE" w:rsidRPr="00FB26D2">
        <w:rPr>
          <w:rFonts w:ascii="Arial" w:hAnsi="Arial" w:cs="Arial"/>
          <w:color w:val="auto"/>
        </w:rPr>
        <w:t xml:space="preserve"> </w:t>
      </w:r>
    </w:p>
    <w:p w:rsidR="00F05793" w:rsidRDefault="00F05793" w:rsidP="009A7DDE">
      <w:pPr>
        <w:pStyle w:val="Styl"/>
        <w:spacing w:before="14" w:line="254" w:lineRule="exact"/>
        <w:ind w:left="4" w:right="801"/>
        <w:rPr>
          <w:sz w:val="21"/>
          <w:szCs w:val="21"/>
        </w:rPr>
      </w:pPr>
    </w:p>
    <w:p w:rsidR="005F7AD3" w:rsidRPr="00214D07" w:rsidRDefault="009A7DDE" w:rsidP="00A876C8">
      <w:pPr>
        <w:pStyle w:val="Styl"/>
        <w:spacing w:before="14" w:line="276" w:lineRule="auto"/>
        <w:ind w:left="4"/>
        <w:jc w:val="both"/>
      </w:pPr>
      <w:r w:rsidRPr="00F05793">
        <w:t>Farby pakowane wg pkt. 2.3.6 należy transpor</w:t>
      </w:r>
      <w:r w:rsidR="00F05793" w:rsidRPr="00F05793">
        <w:t xml:space="preserve">tować zgodnie </w:t>
      </w:r>
      <w:r w:rsidRPr="00F05793">
        <w:t xml:space="preserve">przepisami obowiązującymi w transporcie kolejowym i drogowym. </w:t>
      </w:r>
    </w:p>
    <w:p w:rsidR="009A7DDE" w:rsidRPr="00214D07" w:rsidRDefault="00F05793" w:rsidP="00FB26D2">
      <w:pPr>
        <w:pStyle w:val="Nagwek1"/>
        <w:rPr>
          <w:rFonts w:ascii="Arial" w:hAnsi="Arial" w:cs="Arial"/>
          <w:color w:val="auto"/>
        </w:rPr>
      </w:pPr>
      <w:bookmarkStart w:id="6" w:name="_Toc198206078"/>
      <w:r w:rsidRPr="00214D07">
        <w:rPr>
          <w:rFonts w:ascii="Arial" w:hAnsi="Arial" w:cs="Arial"/>
          <w:color w:val="auto"/>
        </w:rPr>
        <w:t>5 WYKONANIE ROBÓT</w:t>
      </w:r>
      <w:bookmarkEnd w:id="6"/>
      <w:r w:rsidR="009A7DDE" w:rsidRPr="00214D07">
        <w:rPr>
          <w:rFonts w:ascii="Arial" w:hAnsi="Arial" w:cs="Arial"/>
          <w:color w:val="auto"/>
        </w:rPr>
        <w:t xml:space="preserve"> </w:t>
      </w:r>
    </w:p>
    <w:p w:rsidR="00F05793" w:rsidRDefault="00F05793" w:rsidP="009A7DDE">
      <w:pPr>
        <w:pStyle w:val="Styl"/>
        <w:spacing w:before="4" w:line="249" w:lineRule="exact"/>
        <w:ind w:right="4156"/>
        <w:rPr>
          <w:sz w:val="21"/>
          <w:szCs w:val="21"/>
        </w:rPr>
      </w:pPr>
    </w:p>
    <w:p w:rsidR="00F415DA" w:rsidRPr="00214D07" w:rsidRDefault="009A7DDE" w:rsidP="00A876C8">
      <w:pPr>
        <w:pStyle w:val="Styl"/>
        <w:spacing w:before="4" w:line="249" w:lineRule="exact"/>
      </w:pPr>
      <w:r w:rsidRPr="001B41FD">
        <w:t>We</w:t>
      </w:r>
      <w:r w:rsidR="001B41FD">
        <w:t xml:space="preserve">dług instrukcji oraz świadectwa </w:t>
      </w:r>
      <w:r w:rsidRPr="001B41FD">
        <w:t xml:space="preserve">dopuszczenia. </w:t>
      </w:r>
    </w:p>
    <w:p w:rsidR="009A7DDE" w:rsidRPr="00214D07" w:rsidRDefault="009A7DDE" w:rsidP="00FB26D2">
      <w:pPr>
        <w:pStyle w:val="Nagwek2"/>
        <w:rPr>
          <w:rFonts w:ascii="Arial" w:hAnsi="Arial" w:cs="Arial"/>
          <w:color w:val="auto"/>
        </w:rPr>
      </w:pPr>
      <w:bookmarkStart w:id="7" w:name="_Toc198206079"/>
      <w:r w:rsidRPr="00214D07">
        <w:rPr>
          <w:rFonts w:ascii="Arial" w:hAnsi="Arial" w:cs="Arial"/>
          <w:color w:val="auto"/>
        </w:rPr>
        <w:lastRenderedPageBreak/>
        <w:t>5.1 Przygotowanie podłoży</w:t>
      </w:r>
      <w:bookmarkEnd w:id="7"/>
      <w:r w:rsidRPr="00214D07">
        <w:rPr>
          <w:rFonts w:ascii="Arial" w:hAnsi="Arial" w:cs="Arial"/>
          <w:color w:val="auto"/>
        </w:rPr>
        <w:t xml:space="preserve"> </w:t>
      </w:r>
    </w:p>
    <w:p w:rsidR="00F05793" w:rsidRDefault="00F05793" w:rsidP="00F05793">
      <w:pPr>
        <w:pStyle w:val="Styl"/>
        <w:spacing w:line="259" w:lineRule="exact"/>
        <w:ind w:left="14" w:right="9"/>
        <w:jc w:val="both"/>
        <w:rPr>
          <w:sz w:val="21"/>
          <w:szCs w:val="21"/>
        </w:rPr>
      </w:pPr>
    </w:p>
    <w:p w:rsidR="009A7DDE" w:rsidRPr="00F05793" w:rsidRDefault="009A7DDE" w:rsidP="00F05793">
      <w:pPr>
        <w:pStyle w:val="Styl"/>
        <w:spacing w:line="276" w:lineRule="auto"/>
        <w:ind w:left="14" w:right="9"/>
        <w:jc w:val="both"/>
      </w:pPr>
      <w:r w:rsidRPr="00F05793">
        <w:t xml:space="preserve">5.1.1 Podłoże posiadające drobne uszkodzenia powierzchni powinny być, naprawione przez wypełnienie ubytków zaprawą. Powierzchnie powinny być oczyszczone z kurzu i brudu, wystających drutów, nacieków zaprawy itp. Odstające tynki należy odbić, a rysy poszerzyć i ponownie wypełnić zaprawą cementowo-wapienną. </w:t>
      </w:r>
    </w:p>
    <w:p w:rsidR="00F05793" w:rsidRPr="00F05793" w:rsidRDefault="00F05793" w:rsidP="00F05793">
      <w:pPr>
        <w:pStyle w:val="Styl"/>
        <w:spacing w:before="4" w:line="276" w:lineRule="auto"/>
        <w:ind w:left="9" w:right="1108"/>
        <w:jc w:val="both"/>
      </w:pPr>
    </w:p>
    <w:p w:rsidR="009A7DDE" w:rsidRPr="00F05793" w:rsidRDefault="009A7DDE" w:rsidP="00214D07">
      <w:pPr>
        <w:pStyle w:val="Styl"/>
        <w:tabs>
          <w:tab w:val="left" w:pos="9072"/>
        </w:tabs>
        <w:spacing w:before="4" w:line="276" w:lineRule="auto"/>
        <w:ind w:left="9"/>
        <w:jc w:val="both"/>
      </w:pPr>
      <w:r w:rsidRPr="00F05793">
        <w:t>5.1.2 Powierzchnie metalowe powinny być oczyszczone, odtłuszczone zgodnie z wyma</w:t>
      </w:r>
      <w:r w:rsidR="001B41FD">
        <w:t>ganiami normy PN-70/H-97050</w:t>
      </w:r>
      <w:r w:rsidRPr="00F05793">
        <w:t xml:space="preserve">, dla danego typy farby podkładowej. </w:t>
      </w:r>
    </w:p>
    <w:p w:rsidR="009A7DDE" w:rsidRPr="00214D07" w:rsidRDefault="009A7DDE" w:rsidP="00FB26D2">
      <w:pPr>
        <w:pStyle w:val="Nagwek2"/>
        <w:rPr>
          <w:rFonts w:ascii="Arial" w:hAnsi="Arial" w:cs="Arial"/>
          <w:color w:val="auto"/>
        </w:rPr>
      </w:pPr>
      <w:bookmarkStart w:id="8" w:name="_Toc198206080"/>
      <w:r w:rsidRPr="00214D07">
        <w:rPr>
          <w:rFonts w:ascii="Arial" w:hAnsi="Arial" w:cs="Arial"/>
          <w:color w:val="auto"/>
        </w:rPr>
        <w:t>5.2 Gruntowanie</w:t>
      </w:r>
      <w:bookmarkEnd w:id="8"/>
      <w:r w:rsidRPr="00214D07">
        <w:rPr>
          <w:rFonts w:ascii="Arial" w:hAnsi="Arial" w:cs="Arial"/>
          <w:color w:val="auto"/>
        </w:rPr>
        <w:t xml:space="preserve"> </w:t>
      </w:r>
    </w:p>
    <w:p w:rsidR="00F415DA" w:rsidRDefault="00F415DA" w:rsidP="00F05793">
      <w:pPr>
        <w:pStyle w:val="Styl"/>
        <w:spacing w:before="4" w:line="276" w:lineRule="auto"/>
        <w:ind w:left="9" w:right="134"/>
        <w:jc w:val="both"/>
      </w:pPr>
    </w:p>
    <w:p w:rsidR="00F415DA" w:rsidRDefault="009A7DDE" w:rsidP="00FB26D2">
      <w:pPr>
        <w:pStyle w:val="Styl"/>
        <w:spacing w:before="4" w:line="276" w:lineRule="auto"/>
        <w:ind w:left="9"/>
        <w:jc w:val="both"/>
      </w:pPr>
      <w:r w:rsidRPr="00F05793">
        <w:t>5.2.1 Przy malowaniu farbami emulsyjnymi do gruntowanie stosować farbę emulsyjną tego samego rodzaju z jakiej ma być wykonana powłoka lec</w:t>
      </w:r>
      <w:r w:rsidR="00F415DA">
        <w:t xml:space="preserve">z rozcieńczoną wodą w stosunku </w:t>
      </w:r>
      <w:r w:rsidRPr="00F05793">
        <w:t xml:space="preserve">1 :3-5 lub gotowymi płynami do gruntowania. </w:t>
      </w:r>
    </w:p>
    <w:p w:rsidR="009A7DDE" w:rsidRPr="00F05793" w:rsidRDefault="009A7DDE" w:rsidP="00F415DA">
      <w:pPr>
        <w:pStyle w:val="Styl"/>
        <w:spacing w:line="276" w:lineRule="auto"/>
        <w:ind w:left="14" w:right="9"/>
        <w:jc w:val="both"/>
      </w:pPr>
      <w:r w:rsidRPr="00F05793">
        <w:t>5.2.2 Przy malowaniu farbami olejnymi i syntetycznymi powierzchnie gruntować pokost</w:t>
      </w:r>
      <w:r w:rsidR="00154440">
        <w:t xml:space="preserve">em. </w:t>
      </w:r>
    </w:p>
    <w:p w:rsidR="009A7DDE" w:rsidRPr="00214D07" w:rsidRDefault="00C32A4E" w:rsidP="00FB26D2">
      <w:pPr>
        <w:pStyle w:val="Nagwek2"/>
        <w:rPr>
          <w:rFonts w:ascii="Arial" w:hAnsi="Arial" w:cs="Arial"/>
          <w:color w:val="auto"/>
        </w:rPr>
      </w:pPr>
      <w:bookmarkStart w:id="9" w:name="_Toc198206081"/>
      <w:r w:rsidRPr="00214D07">
        <w:rPr>
          <w:rFonts w:ascii="Arial" w:hAnsi="Arial" w:cs="Arial"/>
          <w:color w:val="auto"/>
        </w:rPr>
        <w:t xml:space="preserve">5.3 </w:t>
      </w:r>
      <w:r w:rsidR="009A7DDE" w:rsidRPr="00214D07">
        <w:rPr>
          <w:rFonts w:ascii="Arial" w:hAnsi="Arial" w:cs="Arial"/>
          <w:color w:val="auto"/>
        </w:rPr>
        <w:t>Wykonanie powłok malarskich:</w:t>
      </w:r>
      <w:bookmarkEnd w:id="9"/>
      <w:r w:rsidR="009A7DDE" w:rsidRPr="00214D07">
        <w:rPr>
          <w:rFonts w:ascii="Arial" w:hAnsi="Arial" w:cs="Arial"/>
          <w:color w:val="auto"/>
        </w:rPr>
        <w:t xml:space="preserve"> </w:t>
      </w:r>
    </w:p>
    <w:p w:rsidR="00F415DA" w:rsidRDefault="00F415DA" w:rsidP="00F05793">
      <w:pPr>
        <w:pStyle w:val="Styl"/>
        <w:spacing w:line="276" w:lineRule="auto"/>
        <w:ind w:left="9" w:right="509"/>
        <w:jc w:val="both"/>
      </w:pPr>
    </w:p>
    <w:p w:rsidR="009A7DDE" w:rsidRPr="00F05793" w:rsidRDefault="009A7DDE" w:rsidP="00F415DA">
      <w:pPr>
        <w:pStyle w:val="Styl"/>
        <w:spacing w:line="276" w:lineRule="auto"/>
        <w:ind w:left="9"/>
        <w:jc w:val="both"/>
      </w:pPr>
      <w:r w:rsidRPr="00F05793">
        <w:t xml:space="preserve">5.3.1 Powłoki z farb emulsyjnych powinny być niezmywalne, przy stosowaniu środków myjących i dezynfekujących. </w:t>
      </w:r>
    </w:p>
    <w:p w:rsidR="009A7DDE" w:rsidRPr="00F05793" w:rsidRDefault="009A7DDE" w:rsidP="00F415DA">
      <w:pPr>
        <w:pStyle w:val="Styl"/>
        <w:tabs>
          <w:tab w:val="left" w:pos="9072"/>
        </w:tabs>
        <w:spacing w:line="276" w:lineRule="auto"/>
        <w:ind w:left="9"/>
        <w:jc w:val="both"/>
      </w:pPr>
      <w:r w:rsidRPr="00F05793">
        <w:t xml:space="preserve">Powłoki powinny dawać aksamitno-matowy wygląd powierzchni. Barwa powłok powinna być jednolita, bez smug i plam. Powierzchnia powłok bez uszkodzeń, smug, plam </w:t>
      </w:r>
      <w:r w:rsidRPr="00F05793">
        <w:rPr>
          <w:w w:val="141"/>
        </w:rPr>
        <w:t xml:space="preserve">i </w:t>
      </w:r>
      <w:r w:rsidRPr="00F05793">
        <w:t xml:space="preserve">śladów pędzla. </w:t>
      </w:r>
    </w:p>
    <w:p w:rsidR="00F415DA" w:rsidRDefault="00F415DA" w:rsidP="00F05793">
      <w:pPr>
        <w:pStyle w:val="Styl"/>
        <w:spacing w:line="276" w:lineRule="auto"/>
        <w:ind w:right="601"/>
        <w:jc w:val="both"/>
      </w:pPr>
    </w:p>
    <w:p w:rsidR="009A7DDE" w:rsidRPr="00F05793" w:rsidRDefault="009A7DDE" w:rsidP="00214D07">
      <w:pPr>
        <w:pStyle w:val="Styl"/>
        <w:tabs>
          <w:tab w:val="left" w:pos="8931"/>
          <w:tab w:val="left" w:pos="9072"/>
        </w:tabs>
        <w:spacing w:line="276" w:lineRule="auto"/>
        <w:jc w:val="both"/>
      </w:pPr>
      <w:r w:rsidRPr="00F05793">
        <w:t xml:space="preserve">5.3.2 Powłoki z farb i lakierów olejnych </w:t>
      </w:r>
      <w:r w:rsidRPr="00F05793">
        <w:rPr>
          <w:w w:val="146"/>
        </w:rPr>
        <w:t xml:space="preserve">i </w:t>
      </w:r>
      <w:r w:rsidRPr="00F05793">
        <w:t xml:space="preserve">syntetycznych powinny mieć barwę jednolitą zgodnie ze wzorcem, bez smug, zacieków, uszkodzeń, zmarszczeń, pęcherzy, plam </w:t>
      </w:r>
      <w:r w:rsidRPr="00F05793">
        <w:rPr>
          <w:w w:val="141"/>
        </w:rPr>
        <w:t xml:space="preserve">i </w:t>
      </w:r>
      <w:r w:rsidR="00F415DA">
        <w:t xml:space="preserve">zmiany odcienia. </w:t>
      </w:r>
      <w:r w:rsidRPr="00F05793">
        <w:t xml:space="preserve">Powłoki </w:t>
      </w:r>
      <w:r w:rsidR="00F415DA">
        <w:t xml:space="preserve">powinny mieć jednolity połysk. </w:t>
      </w:r>
      <w:r w:rsidRPr="00F05793">
        <w:t xml:space="preserve">Przy malowaniu wielowarstwowym należy na poszczególne warstwy stosować farby w różnych odcieniach. </w:t>
      </w:r>
    </w:p>
    <w:p w:rsidR="009A7DDE" w:rsidRPr="00214D07" w:rsidRDefault="009A7DDE" w:rsidP="00214D07">
      <w:pPr>
        <w:pStyle w:val="Nagwek1"/>
        <w:rPr>
          <w:rFonts w:ascii="Arial" w:hAnsi="Arial" w:cs="Arial"/>
          <w:color w:val="auto"/>
        </w:rPr>
      </w:pPr>
      <w:bookmarkStart w:id="10" w:name="_Toc198206082"/>
      <w:r w:rsidRPr="00214D07">
        <w:rPr>
          <w:rFonts w:ascii="Arial" w:hAnsi="Arial" w:cs="Arial"/>
          <w:color w:val="auto"/>
        </w:rPr>
        <w:t xml:space="preserve">6. </w:t>
      </w:r>
      <w:r w:rsidR="00F415DA" w:rsidRPr="00214D07">
        <w:rPr>
          <w:rFonts w:ascii="Arial" w:hAnsi="Arial" w:cs="Arial"/>
          <w:color w:val="auto"/>
        </w:rPr>
        <w:t>KONTROLA JAKOŚCI</w:t>
      </w:r>
      <w:bookmarkEnd w:id="10"/>
      <w:r w:rsidRPr="00214D07">
        <w:rPr>
          <w:rFonts w:ascii="Arial" w:hAnsi="Arial" w:cs="Arial"/>
          <w:color w:val="auto"/>
        </w:rPr>
        <w:t xml:space="preserve"> </w:t>
      </w:r>
    </w:p>
    <w:p w:rsidR="009A7DDE" w:rsidRPr="00214D07" w:rsidRDefault="009A7DDE" w:rsidP="00FB26D2">
      <w:pPr>
        <w:pStyle w:val="Nagwek2"/>
        <w:rPr>
          <w:rFonts w:ascii="Arial" w:hAnsi="Arial" w:cs="Arial"/>
          <w:color w:val="auto"/>
        </w:rPr>
      </w:pPr>
      <w:bookmarkStart w:id="11" w:name="_Toc198206083"/>
      <w:r w:rsidRPr="00214D07">
        <w:rPr>
          <w:rFonts w:ascii="Arial" w:hAnsi="Arial" w:cs="Arial"/>
          <w:color w:val="auto"/>
        </w:rPr>
        <w:t>6.1 Powierzchnia do malowania.</w:t>
      </w:r>
      <w:bookmarkEnd w:id="11"/>
      <w:r w:rsidRPr="00214D07">
        <w:rPr>
          <w:rFonts w:ascii="Arial" w:hAnsi="Arial" w:cs="Arial"/>
          <w:color w:val="auto"/>
        </w:rPr>
        <w:t xml:space="preserve"> </w:t>
      </w:r>
    </w:p>
    <w:p w:rsidR="009A7DDE" w:rsidRPr="00F05793" w:rsidRDefault="009A7DDE" w:rsidP="00C32A4E">
      <w:pPr>
        <w:pStyle w:val="Styl"/>
        <w:spacing w:line="276" w:lineRule="auto"/>
        <w:ind w:left="14"/>
        <w:jc w:val="both"/>
      </w:pPr>
      <w:r w:rsidRPr="00F05793">
        <w:t xml:space="preserve">Kontrola stanu technicznego powierzchni przygotowanej do malowania powinna obejmować: </w:t>
      </w:r>
    </w:p>
    <w:p w:rsidR="009A7DDE" w:rsidRPr="00F05793" w:rsidRDefault="009A7DDE" w:rsidP="001B41FD">
      <w:pPr>
        <w:pStyle w:val="Styl"/>
        <w:numPr>
          <w:ilvl w:val="0"/>
          <w:numId w:val="15"/>
        </w:numPr>
        <w:spacing w:line="276" w:lineRule="auto"/>
        <w:ind w:right="1"/>
        <w:jc w:val="both"/>
      </w:pPr>
      <w:r w:rsidRPr="00F05793">
        <w:t xml:space="preserve"> sprawdzenie wyglądu powierzchni </w:t>
      </w:r>
    </w:p>
    <w:p w:rsidR="009A7DDE" w:rsidRPr="00F05793" w:rsidRDefault="009A7DDE" w:rsidP="001B41FD">
      <w:pPr>
        <w:pStyle w:val="Styl"/>
        <w:numPr>
          <w:ilvl w:val="0"/>
          <w:numId w:val="15"/>
        </w:numPr>
        <w:spacing w:line="276" w:lineRule="auto"/>
        <w:ind w:right="1"/>
        <w:jc w:val="both"/>
      </w:pPr>
      <w:r w:rsidRPr="00F05793">
        <w:t xml:space="preserve"> sprawdzenie wsiąkliwości </w:t>
      </w:r>
    </w:p>
    <w:p w:rsidR="009A7DDE" w:rsidRPr="00F05793" w:rsidRDefault="009A7DDE" w:rsidP="001B41FD">
      <w:pPr>
        <w:pStyle w:val="Styl"/>
        <w:numPr>
          <w:ilvl w:val="0"/>
          <w:numId w:val="15"/>
        </w:numPr>
        <w:spacing w:line="276" w:lineRule="auto"/>
        <w:ind w:right="1"/>
        <w:jc w:val="both"/>
      </w:pPr>
      <w:r w:rsidRPr="00F05793">
        <w:t xml:space="preserve"> sprawdzenie wyschnięcia podłoża </w:t>
      </w:r>
    </w:p>
    <w:p w:rsidR="009A7DDE" w:rsidRPr="00F05793" w:rsidRDefault="009A7DDE" w:rsidP="001B41FD">
      <w:pPr>
        <w:pStyle w:val="Styl"/>
        <w:numPr>
          <w:ilvl w:val="0"/>
          <w:numId w:val="15"/>
        </w:numPr>
        <w:spacing w:line="276" w:lineRule="auto"/>
        <w:ind w:right="1"/>
        <w:jc w:val="both"/>
      </w:pPr>
      <w:r w:rsidRPr="00F05793">
        <w:t xml:space="preserve"> sprawdzenie czystości </w:t>
      </w:r>
    </w:p>
    <w:p w:rsidR="009A7DDE" w:rsidRPr="00F05793" w:rsidRDefault="009A7DDE" w:rsidP="00214D07">
      <w:pPr>
        <w:pStyle w:val="Styl"/>
        <w:spacing w:line="276" w:lineRule="auto"/>
        <w:jc w:val="both"/>
      </w:pPr>
      <w:r w:rsidRPr="00F05793">
        <w:t xml:space="preserve">Sprawdzenie wyglądu powierzchni pod malowanie należy wykonać przez oględziny </w:t>
      </w:r>
      <w:r w:rsidRPr="00F05793">
        <w:lastRenderedPageBreak/>
        <w:t xml:space="preserve">zewnętrzne. Sprawdzenie wsiąkliwości należy wykonać przez spryskanie powierzchni przewidzianej pod malowanie kilku kroplami wody. Ciemniejsza plama zwilżonej powierzchni powinna nastąpić nie wcześniej niż po 3s. </w:t>
      </w:r>
    </w:p>
    <w:p w:rsidR="009A7DDE" w:rsidRPr="00214D07" w:rsidRDefault="009A7DDE" w:rsidP="00FB26D2">
      <w:pPr>
        <w:pStyle w:val="Nagwek2"/>
        <w:rPr>
          <w:rFonts w:ascii="Arial" w:hAnsi="Arial" w:cs="Arial"/>
          <w:color w:val="auto"/>
        </w:rPr>
      </w:pPr>
      <w:bookmarkStart w:id="12" w:name="_Toc198206084"/>
      <w:r w:rsidRPr="00214D07">
        <w:rPr>
          <w:rFonts w:ascii="Arial" w:hAnsi="Arial" w:cs="Arial"/>
          <w:color w:val="auto"/>
        </w:rPr>
        <w:t xml:space="preserve">6.2 </w:t>
      </w:r>
      <w:r w:rsidRPr="00214D07">
        <w:rPr>
          <w:rFonts w:ascii="Arial" w:hAnsi="Arial" w:cs="Arial"/>
          <w:iCs/>
          <w:color w:val="auto"/>
        </w:rPr>
        <w:t>Roboty malarskie</w:t>
      </w:r>
      <w:bookmarkEnd w:id="12"/>
      <w:r w:rsidRPr="00214D07">
        <w:rPr>
          <w:rFonts w:ascii="Arial" w:hAnsi="Arial" w:cs="Arial"/>
          <w:color w:val="auto"/>
        </w:rPr>
        <w:t xml:space="preserve"> </w:t>
      </w:r>
    </w:p>
    <w:p w:rsidR="00C32A4E" w:rsidRDefault="00C32A4E" w:rsidP="00C32A4E">
      <w:pPr>
        <w:pStyle w:val="Styl"/>
        <w:tabs>
          <w:tab w:val="left" w:pos="9072"/>
        </w:tabs>
        <w:spacing w:before="4" w:line="276" w:lineRule="auto"/>
        <w:ind w:left="9" w:right="836"/>
        <w:jc w:val="both"/>
      </w:pPr>
    </w:p>
    <w:p w:rsidR="009A7DDE" w:rsidRPr="00F05793" w:rsidRDefault="009A7DDE" w:rsidP="00C32A4E">
      <w:pPr>
        <w:pStyle w:val="Styl"/>
        <w:tabs>
          <w:tab w:val="left" w:pos="9072"/>
        </w:tabs>
        <w:spacing w:before="4" w:line="276" w:lineRule="auto"/>
        <w:ind w:left="9"/>
        <w:jc w:val="both"/>
      </w:pPr>
      <w:r w:rsidRPr="00F05793">
        <w:t>6.2.1 Badania powłok przy ich od</w:t>
      </w:r>
      <w:r w:rsidR="00C32A4E">
        <w:t xml:space="preserve">biorach należy przeprowadzić po </w:t>
      </w:r>
      <w:r w:rsidRPr="00F05793">
        <w:t xml:space="preserve">zakończeniu ich wykonania: </w:t>
      </w:r>
    </w:p>
    <w:p w:rsidR="009A7DDE" w:rsidRPr="00F05793" w:rsidRDefault="001B41FD" w:rsidP="00C32A4E">
      <w:pPr>
        <w:pStyle w:val="Styl"/>
        <w:numPr>
          <w:ilvl w:val="0"/>
          <w:numId w:val="10"/>
        </w:numPr>
        <w:tabs>
          <w:tab w:val="left" w:pos="9072"/>
        </w:tabs>
        <w:spacing w:line="276" w:lineRule="auto"/>
        <w:ind w:right="1"/>
        <w:jc w:val="both"/>
      </w:pPr>
      <w:r>
        <w:t xml:space="preserve"> d</w:t>
      </w:r>
      <w:r w:rsidR="009A7DDE" w:rsidRPr="00F05793">
        <w:t xml:space="preserve">la farb emulsyjnych nie wcześniej niż po 7dniach </w:t>
      </w:r>
    </w:p>
    <w:p w:rsidR="009A7DDE" w:rsidRPr="00F05793" w:rsidRDefault="001B41FD" w:rsidP="00C32A4E">
      <w:pPr>
        <w:pStyle w:val="Styl"/>
        <w:numPr>
          <w:ilvl w:val="0"/>
          <w:numId w:val="10"/>
        </w:numPr>
        <w:tabs>
          <w:tab w:val="left" w:pos="9072"/>
        </w:tabs>
        <w:spacing w:line="276" w:lineRule="auto"/>
        <w:ind w:right="1"/>
        <w:jc w:val="both"/>
      </w:pPr>
      <w:r>
        <w:t xml:space="preserve"> dla pozostałych nie wcześniej niż</w:t>
      </w:r>
      <w:r w:rsidR="009A7DDE" w:rsidRPr="00F05793">
        <w:t xml:space="preserve"> po 14 dniach. </w:t>
      </w:r>
    </w:p>
    <w:p w:rsidR="00C32A4E" w:rsidRDefault="00C32A4E" w:rsidP="00C32A4E">
      <w:pPr>
        <w:pStyle w:val="Styl"/>
        <w:tabs>
          <w:tab w:val="left" w:pos="9072"/>
        </w:tabs>
        <w:spacing w:line="276" w:lineRule="auto"/>
        <w:ind w:left="19" w:right="82"/>
        <w:jc w:val="both"/>
      </w:pPr>
    </w:p>
    <w:p w:rsidR="00C32A4E" w:rsidRDefault="009A7DDE" w:rsidP="00C32A4E">
      <w:pPr>
        <w:pStyle w:val="Styl"/>
        <w:tabs>
          <w:tab w:val="left" w:pos="9072"/>
        </w:tabs>
        <w:spacing w:line="276" w:lineRule="auto"/>
        <w:ind w:left="19" w:right="82"/>
        <w:jc w:val="both"/>
      </w:pPr>
      <w:r w:rsidRPr="00F05793">
        <w:t>6.2.2 Badania przeprowadza się przy temp. powietrza nie niższej od +</w:t>
      </w:r>
      <w:smartTag w:uri="urn:schemas-microsoft-com:office:smarttags" w:element="metricconverter">
        <w:smartTagPr>
          <w:attr w:name="ProductID" w:val="5ﾰC"/>
        </w:smartTagPr>
        <w:r w:rsidRPr="00F05793">
          <w:t>5°C</w:t>
        </w:r>
      </w:smartTag>
      <w:r w:rsidRPr="00F05793">
        <w:t xml:space="preserve"> przy wilgotnoś</w:t>
      </w:r>
      <w:r w:rsidR="00C32A4E">
        <w:t xml:space="preserve">ci powietrza mniejszej od 65%. </w:t>
      </w:r>
    </w:p>
    <w:p w:rsidR="009A7DDE" w:rsidRPr="00F05793" w:rsidRDefault="009A7DDE" w:rsidP="00C32A4E">
      <w:pPr>
        <w:pStyle w:val="Styl"/>
        <w:tabs>
          <w:tab w:val="left" w:pos="9072"/>
        </w:tabs>
        <w:spacing w:line="276" w:lineRule="auto"/>
        <w:ind w:left="14" w:right="1"/>
        <w:jc w:val="both"/>
      </w:pPr>
      <w:r w:rsidRPr="00F05793">
        <w:t xml:space="preserve">6.2.3 Badania powinny obejmować: </w:t>
      </w:r>
    </w:p>
    <w:p w:rsidR="009A7DDE" w:rsidRPr="00F05793" w:rsidRDefault="009A7DDE" w:rsidP="00C32A4E">
      <w:pPr>
        <w:pStyle w:val="Styl"/>
        <w:numPr>
          <w:ilvl w:val="0"/>
          <w:numId w:val="13"/>
        </w:numPr>
        <w:tabs>
          <w:tab w:val="left" w:pos="9072"/>
        </w:tabs>
        <w:spacing w:line="276" w:lineRule="auto"/>
        <w:ind w:right="1"/>
        <w:jc w:val="both"/>
      </w:pPr>
      <w:r w:rsidRPr="00F05793">
        <w:t xml:space="preserve"> sprawdzenie wyglądu zewnętrznego </w:t>
      </w:r>
    </w:p>
    <w:p w:rsidR="009A7DDE" w:rsidRPr="00F05793" w:rsidRDefault="009A7DDE" w:rsidP="00C32A4E">
      <w:pPr>
        <w:pStyle w:val="Styl"/>
        <w:numPr>
          <w:ilvl w:val="0"/>
          <w:numId w:val="13"/>
        </w:numPr>
        <w:tabs>
          <w:tab w:val="left" w:pos="9072"/>
        </w:tabs>
        <w:spacing w:line="276" w:lineRule="auto"/>
        <w:ind w:right="1"/>
        <w:jc w:val="both"/>
      </w:pPr>
      <w:r w:rsidRPr="00F05793">
        <w:t xml:space="preserve"> sprawdzenie zgodności barwy ze wzorem </w:t>
      </w:r>
    </w:p>
    <w:p w:rsidR="009A7DDE" w:rsidRPr="00F05793" w:rsidRDefault="009A7DDE" w:rsidP="00C32A4E">
      <w:pPr>
        <w:pStyle w:val="Styl"/>
        <w:numPr>
          <w:ilvl w:val="0"/>
          <w:numId w:val="13"/>
        </w:numPr>
        <w:tabs>
          <w:tab w:val="left" w:pos="9072"/>
        </w:tabs>
        <w:spacing w:line="276" w:lineRule="auto"/>
        <w:ind w:right="1"/>
        <w:jc w:val="both"/>
      </w:pPr>
      <w:r w:rsidRPr="00F05793">
        <w:t xml:space="preserve"> dla farb olejnych i syntetycznych: sprawdzenie powłoki na zarysowanie </w:t>
      </w:r>
      <w:r w:rsidRPr="00F05793">
        <w:rPr>
          <w:w w:val="146"/>
        </w:rPr>
        <w:t xml:space="preserve">i </w:t>
      </w:r>
      <w:r w:rsidR="001B41FD">
        <w:t>uderzenia</w:t>
      </w:r>
    </w:p>
    <w:p w:rsidR="009A7DDE" w:rsidRPr="00F05793" w:rsidRDefault="009A7DDE" w:rsidP="00C32A4E">
      <w:pPr>
        <w:pStyle w:val="Styl"/>
        <w:numPr>
          <w:ilvl w:val="0"/>
          <w:numId w:val="13"/>
        </w:numPr>
        <w:tabs>
          <w:tab w:val="left" w:pos="9072"/>
        </w:tabs>
        <w:spacing w:before="4" w:line="276" w:lineRule="auto"/>
        <w:jc w:val="both"/>
      </w:pPr>
      <w:r w:rsidRPr="00F05793">
        <w:t xml:space="preserve">sprawdzenie elastyczności </w:t>
      </w:r>
      <w:r w:rsidRPr="00F05793">
        <w:rPr>
          <w:w w:val="146"/>
        </w:rPr>
        <w:t xml:space="preserve">i </w:t>
      </w:r>
      <w:r w:rsidRPr="00F05793">
        <w:t xml:space="preserve">twardości oraz przyczepności zgodnie z odpowiednimi normami państwowymi </w:t>
      </w:r>
    </w:p>
    <w:p w:rsidR="009A7DDE" w:rsidRPr="00F05793" w:rsidRDefault="009A7DDE" w:rsidP="00C32A4E">
      <w:pPr>
        <w:pStyle w:val="Styl"/>
        <w:spacing w:before="9" w:line="276" w:lineRule="auto"/>
        <w:jc w:val="both"/>
      </w:pPr>
      <w:r w:rsidRPr="00F05793">
        <w:t xml:space="preserve">Jeśli badania dadzą wynik pozytywny, to roboty malarskie należy uznać za wykonane prawidłowo. </w:t>
      </w:r>
    </w:p>
    <w:p w:rsidR="009A7DDE" w:rsidRPr="00C32A4E" w:rsidRDefault="009A7DDE" w:rsidP="00214D07">
      <w:pPr>
        <w:pStyle w:val="Styl"/>
        <w:spacing w:line="276" w:lineRule="auto"/>
        <w:jc w:val="both"/>
      </w:pPr>
      <w:r w:rsidRPr="00F05793">
        <w:t xml:space="preserve">Gdy którekolwiek z badań dało wynik ujemny, należy usunąć wykonane powłoki częściowo lub całkowicie i wykonać powtórnie. </w:t>
      </w:r>
    </w:p>
    <w:p w:rsidR="009A7DDE" w:rsidRPr="00214D07" w:rsidRDefault="009A7DDE" w:rsidP="00FB26D2">
      <w:pPr>
        <w:pStyle w:val="Nagwek1"/>
        <w:rPr>
          <w:rFonts w:ascii="Arial" w:hAnsi="Arial" w:cs="Arial"/>
          <w:color w:val="auto"/>
        </w:rPr>
      </w:pPr>
      <w:bookmarkStart w:id="13" w:name="_Toc198206085"/>
      <w:r w:rsidRPr="00214D07">
        <w:rPr>
          <w:rFonts w:ascii="Arial" w:hAnsi="Arial" w:cs="Arial"/>
          <w:color w:val="auto"/>
        </w:rPr>
        <w:t xml:space="preserve">7. </w:t>
      </w:r>
      <w:r w:rsidR="00C32A4E" w:rsidRPr="00214D07">
        <w:rPr>
          <w:rFonts w:ascii="Arial" w:hAnsi="Arial" w:cs="Arial"/>
          <w:color w:val="auto"/>
        </w:rPr>
        <w:t>OBMIAR ROBÓT</w:t>
      </w:r>
      <w:bookmarkEnd w:id="13"/>
      <w:r w:rsidRPr="00214D07">
        <w:rPr>
          <w:rFonts w:ascii="Arial" w:hAnsi="Arial" w:cs="Arial"/>
          <w:color w:val="auto"/>
        </w:rPr>
        <w:t xml:space="preserve"> </w:t>
      </w:r>
    </w:p>
    <w:p w:rsidR="00C32A4E" w:rsidRDefault="00C32A4E" w:rsidP="00C32A4E">
      <w:pPr>
        <w:pStyle w:val="Styl"/>
        <w:spacing w:line="276" w:lineRule="auto"/>
        <w:ind w:left="14" w:right="1"/>
        <w:jc w:val="both"/>
      </w:pPr>
    </w:p>
    <w:p w:rsidR="009A7DDE" w:rsidRPr="00C32A4E" w:rsidRDefault="009A7DDE" w:rsidP="00C32A4E">
      <w:pPr>
        <w:pStyle w:val="Styl"/>
        <w:spacing w:line="276" w:lineRule="auto"/>
        <w:ind w:left="14" w:right="1"/>
        <w:jc w:val="both"/>
      </w:pPr>
      <w:r w:rsidRPr="00C32A4E">
        <w:t>Jednostką obmiarową robót jest m</w:t>
      </w:r>
      <w:r w:rsidRPr="00C32A4E">
        <w:rPr>
          <w:vertAlign w:val="superscript"/>
        </w:rPr>
        <w:t>2</w:t>
      </w:r>
      <w:r w:rsidRPr="00C32A4E">
        <w:t xml:space="preserve"> powierzchni zamalowanej wraz z przygotowaniem do malowania podłoża, przygotowaniem farb, ustawieniem drabin malarskich oraz uporządkowaniem miejsca pracy. </w:t>
      </w:r>
    </w:p>
    <w:p w:rsidR="009A7DDE" w:rsidRPr="00214D07" w:rsidRDefault="00C32A4E" w:rsidP="00FB26D2">
      <w:pPr>
        <w:pStyle w:val="Nagwek1"/>
        <w:rPr>
          <w:rFonts w:ascii="Arial" w:hAnsi="Arial" w:cs="Arial"/>
          <w:color w:val="auto"/>
        </w:rPr>
      </w:pPr>
      <w:bookmarkStart w:id="14" w:name="_Toc198206086"/>
      <w:r w:rsidRPr="00214D07">
        <w:rPr>
          <w:rFonts w:ascii="Arial" w:hAnsi="Arial" w:cs="Arial"/>
          <w:color w:val="auto"/>
        </w:rPr>
        <w:t>8. ODBIÓR</w:t>
      </w:r>
      <w:bookmarkEnd w:id="14"/>
    </w:p>
    <w:p w:rsidR="009A7DDE" w:rsidRPr="00003C06" w:rsidRDefault="009A7DDE" w:rsidP="001B63DE">
      <w:pPr>
        <w:pStyle w:val="Styl"/>
        <w:spacing w:before="4" w:line="276" w:lineRule="auto"/>
        <w:jc w:val="both"/>
      </w:pPr>
    </w:p>
    <w:p w:rsidR="001B41FD" w:rsidRPr="00214D07" w:rsidRDefault="009A7DDE" w:rsidP="00FB26D2">
      <w:pPr>
        <w:pStyle w:val="Nagwek2"/>
        <w:rPr>
          <w:rFonts w:ascii="Arial" w:hAnsi="Arial" w:cs="Arial"/>
          <w:color w:val="auto"/>
        </w:rPr>
      </w:pPr>
      <w:bookmarkStart w:id="15" w:name="_Toc198206087"/>
      <w:r w:rsidRPr="00214D07">
        <w:rPr>
          <w:rFonts w:ascii="Arial" w:hAnsi="Arial" w:cs="Arial"/>
          <w:color w:val="auto"/>
        </w:rPr>
        <w:t>8.1 Odbiór podłoża</w:t>
      </w:r>
      <w:bookmarkEnd w:id="15"/>
      <w:r w:rsidR="000F458F" w:rsidRPr="00214D07">
        <w:rPr>
          <w:rFonts w:ascii="Arial" w:hAnsi="Arial" w:cs="Arial"/>
          <w:color w:val="auto"/>
        </w:rPr>
        <w:t xml:space="preserve"> </w:t>
      </w:r>
    </w:p>
    <w:p w:rsidR="001B41FD" w:rsidRDefault="001B41FD" w:rsidP="001D2564">
      <w:pPr>
        <w:pStyle w:val="Styl"/>
        <w:spacing w:before="4" w:line="276" w:lineRule="auto"/>
        <w:ind w:left="9"/>
        <w:jc w:val="both"/>
      </w:pPr>
    </w:p>
    <w:p w:rsidR="009A7DDE" w:rsidRPr="00003C06" w:rsidRDefault="009A7DDE" w:rsidP="001D2564">
      <w:pPr>
        <w:pStyle w:val="Styl"/>
        <w:spacing w:before="4" w:line="276" w:lineRule="auto"/>
        <w:ind w:left="9"/>
        <w:jc w:val="both"/>
      </w:pPr>
      <w:r w:rsidRPr="00003C06">
        <w:t>8.1.1 Zastosowane do przygotowania podłoża materiały powinny odpowiadać wymaganiom zawartym w normach państwowych lub świadectwach dopuszczenia do stosowania w budownictwie. Podłoże, posiadające drobne uszk</w:t>
      </w:r>
      <w:r w:rsidR="00003C06" w:rsidRPr="00003C06">
        <w:t xml:space="preserve">odzenia powinno być naprawione </w:t>
      </w:r>
      <w:r w:rsidRPr="00003C06">
        <w:t xml:space="preserve">przez wypełnienie ubytków zaprawą do robót tynkowych lub odpowiednią szpachlówką. Podłoże powinno być przygotowane zgodnie z wymaganiami w pkt. 5.2.1 </w:t>
      </w:r>
      <w:r w:rsidRPr="00003C06">
        <w:lastRenderedPageBreak/>
        <w:t xml:space="preserve">jeżeli odbiór podłoża odbywa się po dłuższym czasie od jego wykonania, należy podłoże przed gruntowaniem oczyścić. </w:t>
      </w:r>
    </w:p>
    <w:p w:rsidR="009A7DDE" w:rsidRDefault="009A7DDE" w:rsidP="00C32A4E">
      <w:pPr>
        <w:pStyle w:val="Styl"/>
        <w:spacing w:line="276" w:lineRule="auto"/>
        <w:ind w:left="19" w:right="4"/>
        <w:jc w:val="both"/>
        <w:rPr>
          <w:sz w:val="21"/>
          <w:szCs w:val="21"/>
        </w:rPr>
      </w:pPr>
    </w:p>
    <w:p w:rsidR="009A7DDE" w:rsidRPr="00214D07" w:rsidRDefault="009A7DDE" w:rsidP="00FB26D2">
      <w:pPr>
        <w:pStyle w:val="Nagwek2"/>
        <w:rPr>
          <w:rFonts w:ascii="Arial" w:hAnsi="Arial" w:cs="Arial"/>
          <w:color w:val="auto"/>
        </w:rPr>
      </w:pPr>
      <w:bookmarkStart w:id="16" w:name="_Toc198206088"/>
      <w:r w:rsidRPr="00214D07">
        <w:rPr>
          <w:rFonts w:ascii="Arial" w:hAnsi="Arial" w:cs="Arial"/>
          <w:color w:val="auto"/>
        </w:rPr>
        <w:t>8.2 Odbiór robót malarskich</w:t>
      </w:r>
      <w:bookmarkEnd w:id="16"/>
      <w:r w:rsidRPr="00214D07">
        <w:rPr>
          <w:rFonts w:ascii="Arial" w:hAnsi="Arial" w:cs="Arial"/>
          <w:color w:val="auto"/>
        </w:rPr>
        <w:t xml:space="preserve"> </w:t>
      </w:r>
    </w:p>
    <w:p w:rsidR="00AA5629" w:rsidRDefault="00AA5629" w:rsidP="00AA5629">
      <w:pPr>
        <w:pStyle w:val="Styl"/>
        <w:spacing w:before="4" w:line="276" w:lineRule="auto"/>
        <w:jc w:val="both"/>
      </w:pPr>
    </w:p>
    <w:p w:rsidR="009A7DDE" w:rsidRPr="00003C06" w:rsidRDefault="009A7DDE" w:rsidP="00AA5629">
      <w:pPr>
        <w:pStyle w:val="Styl"/>
        <w:spacing w:before="4" w:line="276" w:lineRule="auto"/>
        <w:jc w:val="both"/>
      </w:pPr>
      <w:r w:rsidRPr="00003C06">
        <w:t xml:space="preserve">8.2.1 Sprawdzenie wyglądu zewnętrznego powłok malarskich polegające na stwierdzeniu równomiernego rozłożenia farby, jednolitego natężenia barwy i zgodności ze wzorcem producenta, brak prześwitu </w:t>
      </w:r>
      <w:r w:rsidRPr="00003C06">
        <w:rPr>
          <w:w w:val="146"/>
        </w:rPr>
        <w:t xml:space="preserve">i </w:t>
      </w:r>
      <w:r w:rsidRPr="00003C06">
        <w:t xml:space="preserve">dostrzegalnych skupisk lub grudek nie roztartego pigmentu lub wypełniacza, brak plam, smug, zacieków, pęcherzy, odstających płatów powłok, widocznych okiem śladów pędzla itp., w stopniu kwalifikującym powierzchnię malowaną do powłok o dobrej jakości wykonania.                                 </w:t>
      </w:r>
    </w:p>
    <w:p w:rsidR="00003C06" w:rsidRPr="00003C06" w:rsidRDefault="00003C06" w:rsidP="00C32A4E">
      <w:pPr>
        <w:pStyle w:val="Styl"/>
        <w:spacing w:before="9" w:line="276" w:lineRule="auto"/>
        <w:ind w:left="19" w:right="268"/>
        <w:jc w:val="both"/>
      </w:pPr>
    </w:p>
    <w:p w:rsidR="009A7DDE" w:rsidRPr="00003C06" w:rsidRDefault="009A7DDE" w:rsidP="00003C06">
      <w:pPr>
        <w:pStyle w:val="Styl"/>
        <w:spacing w:before="9" w:line="276" w:lineRule="auto"/>
        <w:ind w:left="19"/>
        <w:jc w:val="both"/>
      </w:pPr>
      <w:r w:rsidRPr="00003C06">
        <w:t xml:space="preserve">8.2.2 Sprawdzenie odporności powłoki na wycieranie polegające na lekkim, kilku krotnym potarciu jej powierzchni miękką, wełnianą lub bawełnianą szmatką kontrastowego koloru. </w:t>
      </w:r>
    </w:p>
    <w:p w:rsidR="00003C06" w:rsidRPr="00003C06" w:rsidRDefault="00003C06" w:rsidP="00C32A4E">
      <w:pPr>
        <w:pStyle w:val="Styl"/>
        <w:spacing w:line="276" w:lineRule="auto"/>
        <w:ind w:left="19" w:right="4"/>
        <w:jc w:val="both"/>
      </w:pPr>
    </w:p>
    <w:p w:rsidR="009A7DDE" w:rsidRPr="00003C06" w:rsidRDefault="009A7DDE" w:rsidP="00C32A4E">
      <w:pPr>
        <w:pStyle w:val="Styl"/>
        <w:spacing w:line="276" w:lineRule="auto"/>
        <w:ind w:left="19" w:right="4"/>
        <w:jc w:val="both"/>
      </w:pPr>
      <w:r w:rsidRPr="00003C06">
        <w:t xml:space="preserve">8.2.3 Sprawdzenie odporności powłoki na zarysowanie. </w:t>
      </w:r>
    </w:p>
    <w:p w:rsidR="00003C06" w:rsidRPr="00003C06" w:rsidRDefault="00003C06" w:rsidP="00C32A4E">
      <w:pPr>
        <w:pStyle w:val="Styl"/>
        <w:spacing w:line="276" w:lineRule="auto"/>
        <w:ind w:left="9" w:right="408"/>
        <w:jc w:val="both"/>
      </w:pPr>
    </w:p>
    <w:p w:rsidR="009A7DDE" w:rsidRPr="00003C06" w:rsidRDefault="009A7DDE" w:rsidP="00003C06">
      <w:pPr>
        <w:pStyle w:val="Styl"/>
        <w:spacing w:line="276" w:lineRule="auto"/>
        <w:ind w:left="9"/>
        <w:jc w:val="both"/>
      </w:pPr>
      <w:r w:rsidRPr="00003C06">
        <w:t xml:space="preserve">8.2.4 Sprawdzenie przyczepności powłoki do podłoża polegające na próbie poderwania ostrym narzędziem powłoki od podłoża. </w:t>
      </w:r>
    </w:p>
    <w:p w:rsidR="00003C06" w:rsidRPr="00003C06" w:rsidRDefault="00003C06" w:rsidP="00C32A4E">
      <w:pPr>
        <w:pStyle w:val="Styl"/>
        <w:spacing w:line="276" w:lineRule="auto"/>
        <w:ind w:left="19" w:right="4"/>
        <w:jc w:val="both"/>
      </w:pPr>
    </w:p>
    <w:p w:rsidR="009A7DDE" w:rsidRPr="00214D07" w:rsidRDefault="009A7DDE" w:rsidP="00214D07">
      <w:pPr>
        <w:pStyle w:val="Styl"/>
        <w:spacing w:line="276" w:lineRule="auto"/>
        <w:ind w:left="19" w:right="4"/>
        <w:jc w:val="both"/>
      </w:pPr>
      <w:r w:rsidRPr="00003C06">
        <w:t xml:space="preserve">8.2.5 Sprawdzenie odporności powłoki na zmywanie wodą polegające na zwilżaniu badanej powierzchni powłoki przez kilkukrotne potarcie mokrą, miękką szczotką lub szmatką. </w:t>
      </w:r>
    </w:p>
    <w:p w:rsidR="009A7DDE" w:rsidRPr="00214D07" w:rsidRDefault="00003C06" w:rsidP="00FB26D2">
      <w:pPr>
        <w:pStyle w:val="Nagwek1"/>
        <w:rPr>
          <w:rFonts w:ascii="Arial" w:hAnsi="Arial" w:cs="Arial"/>
          <w:color w:val="auto"/>
        </w:rPr>
      </w:pPr>
      <w:bookmarkStart w:id="17" w:name="_Toc198206089"/>
      <w:r w:rsidRPr="00214D07">
        <w:rPr>
          <w:rFonts w:ascii="Arial" w:hAnsi="Arial" w:cs="Arial"/>
          <w:color w:val="auto"/>
        </w:rPr>
        <w:t>9 PODSTAW</w:t>
      </w:r>
      <w:r w:rsidR="000F458F" w:rsidRPr="00214D07">
        <w:rPr>
          <w:rFonts w:ascii="Arial" w:hAnsi="Arial" w:cs="Arial"/>
          <w:color w:val="auto"/>
        </w:rPr>
        <w:t>A PŁATN</w:t>
      </w:r>
      <w:r w:rsidR="003666FC" w:rsidRPr="00214D07">
        <w:rPr>
          <w:rFonts w:ascii="Arial" w:hAnsi="Arial" w:cs="Arial"/>
          <w:color w:val="auto"/>
        </w:rPr>
        <w:t>OŚCI</w:t>
      </w:r>
      <w:bookmarkEnd w:id="17"/>
    </w:p>
    <w:p w:rsidR="000F458F" w:rsidRDefault="000F458F" w:rsidP="000F458F">
      <w:pPr>
        <w:pStyle w:val="Styl"/>
        <w:tabs>
          <w:tab w:val="left" w:pos="2835"/>
        </w:tabs>
        <w:spacing w:before="4" w:line="249" w:lineRule="exact"/>
        <w:ind w:left="14" w:right="5970"/>
        <w:jc w:val="both"/>
        <w:rPr>
          <w:sz w:val="21"/>
          <w:szCs w:val="21"/>
        </w:rPr>
      </w:pPr>
    </w:p>
    <w:p w:rsidR="00545EAF" w:rsidRDefault="00545EAF" w:rsidP="00545EAF">
      <w:pPr>
        <w:pStyle w:val="Styl"/>
        <w:spacing w:before="4"/>
        <w:ind w:left="19"/>
        <w:jc w:val="both"/>
      </w:pPr>
      <w:r>
        <w:t xml:space="preserve">Płatność zgodnie z zawartą umową oraz załącznikami do umowy. Wynagrodzenie jest ryczałtowe za cały zakres prac objętych umową. Przedmiar robót oraz kosztorys wykonawcy jest  jedynie dokumentem pomocniczym do ustalenia kwoty całkowitej.  </w:t>
      </w:r>
    </w:p>
    <w:p w:rsidR="00545EAF" w:rsidRDefault="00545EAF" w:rsidP="00545EAF">
      <w:pPr>
        <w:pStyle w:val="Styl"/>
        <w:spacing w:before="4"/>
        <w:ind w:left="19"/>
        <w:jc w:val="both"/>
      </w:pPr>
      <w:r>
        <w:t xml:space="preserve">Podstawą do płatności będzie wykonanie kompleksowej usługi oraz podpisanie końcowego protokołu odbioru. </w:t>
      </w:r>
    </w:p>
    <w:p w:rsidR="000F458F" w:rsidRPr="00214D07" w:rsidRDefault="009A7DDE" w:rsidP="00214D07">
      <w:pPr>
        <w:pStyle w:val="Styl"/>
        <w:spacing w:before="4" w:line="276" w:lineRule="auto"/>
        <w:ind w:left="19"/>
        <w:jc w:val="both"/>
      </w:pPr>
      <w:r w:rsidRPr="000F458F">
        <w:t>Ilość robót określa się na po</w:t>
      </w:r>
      <w:r w:rsidR="00E85ED8">
        <w:t>d</w:t>
      </w:r>
      <w:r w:rsidRPr="000F458F">
        <w:t xml:space="preserve">stawie obmiaru z uwzględnieniem zmian zaaprobowanych przez Inspektora i sprawdzone w naturze. </w:t>
      </w:r>
    </w:p>
    <w:p w:rsidR="00E85ED8" w:rsidRPr="00DE7908" w:rsidRDefault="00E85ED8" w:rsidP="00E85ED8">
      <w:pPr>
        <w:autoSpaceDE w:val="0"/>
        <w:jc w:val="both"/>
        <w:rPr>
          <w:rFonts w:ascii="Arial" w:eastAsia="Arial" w:hAnsi="Arial" w:cs="Arial"/>
        </w:rPr>
      </w:pPr>
      <w:r>
        <w:rPr>
          <w:rFonts w:ascii="Arial" w:hAnsi="Arial" w:cs="Arial"/>
          <w:sz w:val="24"/>
          <w:szCs w:val="24"/>
        </w:rPr>
        <w:t xml:space="preserve">Przedmiar robót </w:t>
      </w:r>
      <w:r w:rsidRPr="00E85ED8">
        <w:rPr>
          <w:rFonts w:ascii="Arial" w:hAnsi="Arial" w:cs="Arial"/>
          <w:sz w:val="24"/>
          <w:szCs w:val="24"/>
        </w:rPr>
        <w:t>oraz</w:t>
      </w:r>
      <w:r>
        <w:rPr>
          <w:rFonts w:ascii="Arial" w:hAnsi="Arial" w:cs="Arial"/>
        </w:rPr>
        <w:t xml:space="preserve"> </w:t>
      </w:r>
      <w:r w:rsidRPr="00E85ED8">
        <w:rPr>
          <w:rFonts w:ascii="Arial" w:hAnsi="Arial" w:cs="Arial"/>
          <w:sz w:val="24"/>
          <w:szCs w:val="24"/>
        </w:rPr>
        <w:t>kosztorys</w:t>
      </w:r>
      <w:r>
        <w:rPr>
          <w:rFonts w:ascii="Arial" w:hAnsi="Arial" w:cs="Arial"/>
        </w:rPr>
        <w:t xml:space="preserve"> W</w:t>
      </w:r>
      <w:r>
        <w:rPr>
          <w:rFonts w:ascii="Arial" w:hAnsi="Arial" w:cs="Arial"/>
          <w:sz w:val="24"/>
          <w:szCs w:val="24"/>
        </w:rPr>
        <w:t>ykonawcy jest  jedynie dokumentem pomocniczym do ustalenia kwoty całkowitej</w:t>
      </w:r>
      <w:r>
        <w:rPr>
          <w:rFonts w:ascii="Arial" w:hAnsi="Arial" w:cs="Arial"/>
        </w:rPr>
        <w:t xml:space="preserve"> wynagrodzenia.</w:t>
      </w:r>
    </w:p>
    <w:p w:rsidR="0043045C" w:rsidRDefault="0043045C" w:rsidP="0043045C">
      <w:pPr>
        <w:pStyle w:val="Styl"/>
        <w:spacing w:line="276" w:lineRule="auto"/>
        <w:jc w:val="both"/>
      </w:pPr>
    </w:p>
    <w:p w:rsidR="0043045C" w:rsidRPr="0043045C" w:rsidRDefault="0043045C" w:rsidP="0043045C">
      <w:pPr>
        <w:pStyle w:val="Styl"/>
        <w:spacing w:line="276" w:lineRule="auto"/>
        <w:jc w:val="both"/>
        <w:rPr>
          <w:sz w:val="20"/>
          <w:szCs w:val="20"/>
        </w:rPr>
      </w:pPr>
    </w:p>
    <w:sectPr w:rsidR="0043045C" w:rsidRPr="0043045C" w:rsidSect="007A6D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276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7C2" w:rsidRDefault="00D957C2" w:rsidP="00FF2526">
      <w:pPr>
        <w:spacing w:after="0" w:line="240" w:lineRule="auto"/>
      </w:pPr>
      <w:r>
        <w:separator/>
      </w:r>
    </w:p>
  </w:endnote>
  <w:endnote w:type="continuationSeparator" w:id="0">
    <w:p w:rsidR="00D957C2" w:rsidRDefault="00D957C2" w:rsidP="00FF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763" w:rsidRDefault="005037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6EE" w:rsidRPr="00D936EE" w:rsidRDefault="00D936EE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D936EE">
      <w:rPr>
        <w:rFonts w:asciiTheme="majorHAnsi" w:eastAsiaTheme="majorEastAsia" w:hAnsiTheme="majorHAnsi" w:cstheme="majorBidi"/>
        <w:sz w:val="20"/>
        <w:szCs w:val="20"/>
      </w:rPr>
      <w:t>TUN</w:t>
    </w:r>
    <w:r w:rsidRPr="00D936EE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D936EE">
      <w:rPr>
        <w:rFonts w:asciiTheme="majorHAnsi" w:eastAsiaTheme="majorEastAsia" w:hAnsiTheme="majorHAnsi" w:cstheme="majorBidi"/>
        <w:sz w:val="20"/>
        <w:szCs w:val="20"/>
      </w:rPr>
      <w:t xml:space="preserve">Strona </w:t>
    </w:r>
    <w:r w:rsidRPr="00D936EE">
      <w:rPr>
        <w:rFonts w:eastAsiaTheme="minorEastAsia"/>
        <w:sz w:val="20"/>
        <w:szCs w:val="20"/>
      </w:rPr>
      <w:fldChar w:fldCharType="begin"/>
    </w:r>
    <w:r w:rsidRPr="00D936EE">
      <w:rPr>
        <w:sz w:val="20"/>
        <w:szCs w:val="20"/>
      </w:rPr>
      <w:instrText>PAGE   \* MERGEFORMAT</w:instrText>
    </w:r>
    <w:r w:rsidRPr="00D936EE">
      <w:rPr>
        <w:rFonts w:eastAsiaTheme="minorEastAsia"/>
        <w:sz w:val="20"/>
        <w:szCs w:val="20"/>
      </w:rPr>
      <w:fldChar w:fldCharType="separate"/>
    </w:r>
    <w:r w:rsidR="00503763" w:rsidRPr="00503763">
      <w:rPr>
        <w:rFonts w:asciiTheme="majorHAnsi" w:eastAsiaTheme="majorEastAsia" w:hAnsiTheme="majorHAnsi" w:cstheme="majorBidi"/>
        <w:noProof/>
        <w:sz w:val="20"/>
        <w:szCs w:val="20"/>
      </w:rPr>
      <w:t>1</w:t>
    </w:r>
    <w:r w:rsidRPr="00D936EE">
      <w:rPr>
        <w:rFonts w:asciiTheme="majorHAnsi" w:eastAsiaTheme="majorEastAsia" w:hAnsiTheme="majorHAnsi" w:cstheme="majorBidi"/>
        <w:sz w:val="20"/>
        <w:szCs w:val="20"/>
      </w:rPr>
      <w:fldChar w:fldCharType="end"/>
    </w:r>
  </w:p>
  <w:p w:rsidR="00916F2F" w:rsidRDefault="007A6D3F">
    <w:pPr>
      <w:pStyle w:val="Stopka"/>
    </w:pPr>
    <w:r>
      <w:rPr>
        <w:rFonts w:ascii="Arial" w:eastAsia="Calibri" w:hAnsi="Arial" w:cs="Arial"/>
        <w:b/>
        <w:i/>
        <w:sz w:val="16"/>
        <w:szCs w:val="16"/>
      </w:rPr>
      <w:t xml:space="preserve">    </w:t>
    </w:r>
    <w:r w:rsidR="00320C20" w:rsidRPr="00320C20">
      <w:rPr>
        <w:rFonts w:ascii="Arial" w:eastAsia="Calibri" w:hAnsi="Arial" w:cs="Arial"/>
        <w:b/>
        <w:i/>
        <w:sz w:val="16"/>
        <w:szCs w:val="16"/>
      </w:rPr>
      <w:t xml:space="preserve"> </w:t>
    </w:r>
    <w:r w:rsidR="00320C20">
      <w:rPr>
        <w:rFonts w:ascii="Arial" w:eastAsia="Calibri" w:hAnsi="Arial" w:cs="Arial"/>
        <w:b/>
        <w:i/>
        <w:sz w:val="16"/>
        <w:szCs w:val="16"/>
      </w:rPr>
      <w:t xml:space="preserve">      </w:t>
    </w:r>
    <w:r w:rsidR="00320C20">
      <w:rPr>
        <w:rFonts w:ascii="Arial" w:eastAsia="Calibri" w:hAnsi="Arial" w:cs="Arial"/>
        <w:b/>
        <w:i/>
        <w:sz w:val="16"/>
        <w:szCs w:val="16"/>
      </w:rPr>
      <w:tab/>
      <w:t>„</w:t>
    </w:r>
    <w:r w:rsidR="00503763">
      <w:rPr>
        <w:rFonts w:ascii="Arial" w:eastAsia="Calibri" w:hAnsi="Arial" w:cs="Arial"/>
        <w:b/>
        <w:i/>
        <w:sz w:val="16"/>
        <w:szCs w:val="16"/>
      </w:rPr>
      <w:t xml:space="preserve"> Remont budynku nr 10,</w:t>
    </w:r>
    <w:r w:rsidR="00320C20" w:rsidRPr="00320C20">
      <w:rPr>
        <w:rFonts w:ascii="Arial" w:eastAsia="Calibri" w:hAnsi="Arial" w:cs="Arial"/>
        <w:b/>
        <w:i/>
        <w:sz w:val="16"/>
        <w:szCs w:val="16"/>
      </w:rPr>
      <w:t xml:space="preserve"> 11 </w:t>
    </w:r>
    <w:r w:rsidR="00503763">
      <w:rPr>
        <w:rFonts w:ascii="Arial" w:eastAsia="Calibri" w:hAnsi="Arial" w:cs="Arial"/>
        <w:b/>
        <w:i/>
        <w:sz w:val="16"/>
        <w:szCs w:val="16"/>
      </w:rPr>
      <w:t xml:space="preserve">oraz 1 </w:t>
    </w:r>
    <w:r w:rsidR="00320C20" w:rsidRPr="00320C20">
      <w:rPr>
        <w:rFonts w:ascii="Arial" w:eastAsia="Calibri" w:hAnsi="Arial" w:cs="Arial"/>
        <w:b/>
        <w:i/>
        <w:sz w:val="16"/>
        <w:szCs w:val="16"/>
      </w:rPr>
      <w:t>w kompleksie wojskowym  przy ul. Krakowskiej 11b w Rzeszowie</w:t>
    </w:r>
    <w:r w:rsidR="00320C20">
      <w:rPr>
        <w:rFonts w:ascii="Arial" w:eastAsia="Calibri" w:hAnsi="Arial" w:cs="Arial"/>
        <w:b/>
        <w:i/>
        <w:sz w:val="16"/>
        <w:szCs w:val="16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763" w:rsidRDefault="005037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7C2" w:rsidRDefault="00D957C2" w:rsidP="00FF2526">
      <w:pPr>
        <w:spacing w:after="0" w:line="240" w:lineRule="auto"/>
      </w:pPr>
      <w:r>
        <w:separator/>
      </w:r>
    </w:p>
  </w:footnote>
  <w:footnote w:type="continuationSeparator" w:id="0">
    <w:p w:rsidR="00D957C2" w:rsidRDefault="00D957C2" w:rsidP="00FF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763" w:rsidRDefault="005037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eastAsia="Times New Roman" w:hAnsi="Cambria" w:cs="Times New Roman"/>
        <w:sz w:val="32"/>
        <w:szCs w:val="32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10343" w:rsidRDefault="00D36C01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Cambria" w:eastAsia="Times New Roman" w:hAnsi="Cambria" w:cs="Times New Roman"/>
            <w:sz w:val="32"/>
            <w:szCs w:val="32"/>
          </w:rPr>
          <w:t xml:space="preserve">SPECYFIKACJA TECHNICZNA WYKONANIA I </w:t>
        </w:r>
        <w:r w:rsidR="00A876C8">
          <w:rPr>
            <w:rFonts w:ascii="Cambria" w:eastAsia="Times New Roman" w:hAnsi="Cambria" w:cs="Times New Roman"/>
            <w:sz w:val="32"/>
            <w:szCs w:val="32"/>
          </w:rPr>
          <w:t>OBBIORU</w:t>
        </w:r>
        <w:r w:rsidR="005E7F04">
          <w:rPr>
            <w:rFonts w:ascii="Cambria" w:eastAsia="Times New Roman" w:hAnsi="Cambria" w:cs="Times New Roman"/>
            <w:sz w:val="32"/>
            <w:szCs w:val="32"/>
          </w:rPr>
          <w:t xml:space="preserve">          </w:t>
        </w:r>
        <w:r w:rsidR="00A876C8">
          <w:rPr>
            <w:rFonts w:ascii="Cambria" w:eastAsia="Times New Roman" w:hAnsi="Cambria" w:cs="Times New Roman"/>
            <w:sz w:val="32"/>
            <w:szCs w:val="32"/>
          </w:rPr>
          <w:t xml:space="preserve"> ROBÓT</w:t>
        </w:r>
        <w:r>
          <w:rPr>
            <w:rFonts w:ascii="Cambria" w:eastAsia="Times New Roman" w:hAnsi="Cambria" w:cs="Times New Roman"/>
            <w:sz w:val="32"/>
            <w:szCs w:val="32"/>
          </w:rPr>
          <w:t xml:space="preserve"> BUDOWLANYCH</w:t>
        </w:r>
      </w:p>
    </w:sdtContent>
  </w:sdt>
  <w:p w:rsidR="00110343" w:rsidRDefault="001103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763" w:rsidRDefault="005037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C2F"/>
    <w:multiLevelType w:val="hybridMultilevel"/>
    <w:tmpl w:val="7996E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E34CE"/>
    <w:multiLevelType w:val="hybridMultilevel"/>
    <w:tmpl w:val="18F61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3192D"/>
    <w:multiLevelType w:val="hybridMultilevel"/>
    <w:tmpl w:val="FCD07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972E7"/>
    <w:multiLevelType w:val="hybridMultilevel"/>
    <w:tmpl w:val="2ECCC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C0E96"/>
    <w:multiLevelType w:val="hybridMultilevel"/>
    <w:tmpl w:val="873C7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C0831"/>
    <w:multiLevelType w:val="hybridMultilevel"/>
    <w:tmpl w:val="FC363D5E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6" w15:restartNumberingAfterBreak="0">
    <w:nsid w:val="296A71C3"/>
    <w:multiLevelType w:val="hybridMultilevel"/>
    <w:tmpl w:val="CDD4E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E6C91"/>
    <w:multiLevelType w:val="hybridMultilevel"/>
    <w:tmpl w:val="DF8C8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75405"/>
    <w:multiLevelType w:val="hybridMultilevel"/>
    <w:tmpl w:val="208E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B1B8E"/>
    <w:multiLevelType w:val="hybridMultilevel"/>
    <w:tmpl w:val="750CA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343CE"/>
    <w:multiLevelType w:val="hybridMultilevel"/>
    <w:tmpl w:val="00168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E7862"/>
    <w:multiLevelType w:val="hybridMultilevel"/>
    <w:tmpl w:val="40E62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5C93"/>
    <w:multiLevelType w:val="hybridMultilevel"/>
    <w:tmpl w:val="87262914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6AF92E9E"/>
    <w:multiLevelType w:val="hybridMultilevel"/>
    <w:tmpl w:val="324045D4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6E952C6C"/>
    <w:multiLevelType w:val="hybridMultilevel"/>
    <w:tmpl w:val="E3722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82F22"/>
    <w:multiLevelType w:val="hybridMultilevel"/>
    <w:tmpl w:val="C4601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0"/>
  </w:num>
  <w:num w:numId="9">
    <w:abstractNumId w:val="8"/>
  </w:num>
  <w:num w:numId="10">
    <w:abstractNumId w:val="5"/>
  </w:num>
  <w:num w:numId="11">
    <w:abstractNumId w:val="13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C8"/>
    <w:rsid w:val="00003C06"/>
    <w:rsid w:val="00011023"/>
    <w:rsid w:val="0003232F"/>
    <w:rsid w:val="000401DF"/>
    <w:rsid w:val="000709BB"/>
    <w:rsid w:val="0009493F"/>
    <w:rsid w:val="000A3D1E"/>
    <w:rsid w:val="000F458F"/>
    <w:rsid w:val="00103202"/>
    <w:rsid w:val="00110343"/>
    <w:rsid w:val="00154440"/>
    <w:rsid w:val="00173DD4"/>
    <w:rsid w:val="00176192"/>
    <w:rsid w:val="001901FD"/>
    <w:rsid w:val="001B41FD"/>
    <w:rsid w:val="001B63DE"/>
    <w:rsid w:val="001D2564"/>
    <w:rsid w:val="001F2AAC"/>
    <w:rsid w:val="00214D07"/>
    <w:rsid w:val="00222280"/>
    <w:rsid w:val="002362A4"/>
    <w:rsid w:val="002E2922"/>
    <w:rsid w:val="00320C20"/>
    <w:rsid w:val="003242F9"/>
    <w:rsid w:val="00332985"/>
    <w:rsid w:val="00363F54"/>
    <w:rsid w:val="003666FC"/>
    <w:rsid w:val="003A2E94"/>
    <w:rsid w:val="003E35D7"/>
    <w:rsid w:val="00413728"/>
    <w:rsid w:val="0043045C"/>
    <w:rsid w:val="00481C56"/>
    <w:rsid w:val="004A0CC7"/>
    <w:rsid w:val="00503763"/>
    <w:rsid w:val="00545EAF"/>
    <w:rsid w:val="00586D2D"/>
    <w:rsid w:val="005953D8"/>
    <w:rsid w:val="005D0A6B"/>
    <w:rsid w:val="005D4193"/>
    <w:rsid w:val="005E7F04"/>
    <w:rsid w:val="005F7AD3"/>
    <w:rsid w:val="006052DF"/>
    <w:rsid w:val="006C1350"/>
    <w:rsid w:val="007074F8"/>
    <w:rsid w:val="00746FEB"/>
    <w:rsid w:val="00753102"/>
    <w:rsid w:val="0076497B"/>
    <w:rsid w:val="00783B68"/>
    <w:rsid w:val="007954AD"/>
    <w:rsid w:val="007A3C89"/>
    <w:rsid w:val="007A6D3F"/>
    <w:rsid w:val="007B0081"/>
    <w:rsid w:val="007E762E"/>
    <w:rsid w:val="00916F2F"/>
    <w:rsid w:val="009410F9"/>
    <w:rsid w:val="009A7DDE"/>
    <w:rsid w:val="00A64CE1"/>
    <w:rsid w:val="00A74253"/>
    <w:rsid w:val="00A75DEE"/>
    <w:rsid w:val="00A876C8"/>
    <w:rsid w:val="00AA5629"/>
    <w:rsid w:val="00AC165D"/>
    <w:rsid w:val="00AE51E9"/>
    <w:rsid w:val="00AF76C8"/>
    <w:rsid w:val="00B320D7"/>
    <w:rsid w:val="00B61AF2"/>
    <w:rsid w:val="00B855C7"/>
    <w:rsid w:val="00B864A9"/>
    <w:rsid w:val="00BC0963"/>
    <w:rsid w:val="00C03A0C"/>
    <w:rsid w:val="00C23291"/>
    <w:rsid w:val="00C32A4E"/>
    <w:rsid w:val="00C423AA"/>
    <w:rsid w:val="00C6070A"/>
    <w:rsid w:val="00C86691"/>
    <w:rsid w:val="00C87394"/>
    <w:rsid w:val="00CA7D1E"/>
    <w:rsid w:val="00CD4B68"/>
    <w:rsid w:val="00D2650C"/>
    <w:rsid w:val="00D36C01"/>
    <w:rsid w:val="00D65C52"/>
    <w:rsid w:val="00D936EE"/>
    <w:rsid w:val="00D957C2"/>
    <w:rsid w:val="00DC50FA"/>
    <w:rsid w:val="00DD732B"/>
    <w:rsid w:val="00DE24A6"/>
    <w:rsid w:val="00DF446B"/>
    <w:rsid w:val="00E029BF"/>
    <w:rsid w:val="00E30249"/>
    <w:rsid w:val="00E341A0"/>
    <w:rsid w:val="00E72B22"/>
    <w:rsid w:val="00E81049"/>
    <w:rsid w:val="00E85ED8"/>
    <w:rsid w:val="00EE21EB"/>
    <w:rsid w:val="00F05793"/>
    <w:rsid w:val="00F20111"/>
    <w:rsid w:val="00F32393"/>
    <w:rsid w:val="00F415DA"/>
    <w:rsid w:val="00F50E6A"/>
    <w:rsid w:val="00F67F48"/>
    <w:rsid w:val="00F7257D"/>
    <w:rsid w:val="00F80088"/>
    <w:rsid w:val="00F86CA6"/>
    <w:rsid w:val="00FA3D6D"/>
    <w:rsid w:val="00FB26D2"/>
    <w:rsid w:val="00FC46B3"/>
    <w:rsid w:val="00FD156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353BF2D"/>
  <w15:docId w15:val="{5D03A004-3618-4D6A-9808-FDF327D8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526"/>
  </w:style>
  <w:style w:type="paragraph" w:styleId="Stopka">
    <w:name w:val="footer"/>
    <w:basedOn w:val="Normalny"/>
    <w:link w:val="StopkaZnak"/>
    <w:uiPriority w:val="99"/>
    <w:unhideWhenUsed/>
    <w:rsid w:val="00FF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526"/>
  </w:style>
  <w:style w:type="character" w:customStyle="1" w:styleId="Nagwek1Znak">
    <w:name w:val="Nagłówek 1 Znak"/>
    <w:basedOn w:val="Domylnaczcionkaakapitu"/>
    <w:link w:val="Nagwek1"/>
    <w:uiPriority w:val="9"/>
    <w:rsid w:val="00916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16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C6070A"/>
    <w:pPr>
      <w:tabs>
        <w:tab w:val="right" w:leader="dot" w:pos="9062"/>
      </w:tabs>
      <w:spacing w:after="100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916F2F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916F2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343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9A7D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D2564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26D2"/>
    <w:pPr>
      <w:outlineLvl w:val="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40blE3SWNOKzNuN3BNMVpwWGYySklIMVVidEJaS0dr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1nMX715pBPRbLfFF870Km8BwKvgQ39JeRSIdkQ2l374=</DigestValue>
      </Reference>
      <Reference URI="#INFO">
        <DigestMethod Algorithm="http://www.w3.org/2001/04/xmlenc#sha256"/>
        <DigestValue>8TIioAjbu+hBY8cWnzVZhAjjtQddkBTZatghvxSFG4g=</DigestValue>
      </Reference>
    </SignedInfo>
    <SignatureValue>IcmjT3sQ21fuqn/hF7TcbqLDRQUNgMNZ9GcyHpQfZm0IGjRacL1N2Ne2xTvr3UM8NG7Vttu+VUqKfYCk3lgIIA==</SignatureValue>
    <Object Id="INFO">
      <ArrayOfString xmlns:xsi="http://www.w3.org/2001/XMLSchema-instance" xmlns:xsd="http://www.w3.org/2001/XMLSchema" xmlns="">
        <string>4nQ7IcN+3n7pM1ZpXf2JIH1UbtBZKGkn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4B757-49FD-4B62-B491-159CC22134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31C084-8D52-4028-B0EA-2F9139FEFB3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E329F4D0-C1DF-43E2-851E-445E408C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1414</Words>
  <Characters>9093</Characters>
  <Application>Microsoft Office Word</Application>
  <DocSecurity>0</DocSecurity>
  <Lines>279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OBBIORU           ROBÓT BUDOWLANYCH</vt:lpstr>
    </vt:vector>
  </TitlesOfParts>
  <Company>MON</Company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OBBIORU           ROBÓT BUDOWLANYCH</dc:title>
  <dc:creator>Góreczny Piotr</dc:creator>
  <cp:lastModifiedBy>Mokrzyńska Paulina</cp:lastModifiedBy>
  <cp:revision>5</cp:revision>
  <cp:lastPrinted>2022-05-30T06:25:00Z</cp:lastPrinted>
  <dcterms:created xsi:type="dcterms:W3CDTF">2025-05-15T10:55:00Z</dcterms:created>
  <dcterms:modified xsi:type="dcterms:W3CDTF">2025-05-19T09:33:00Z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a9f339c6-07d5-489f-b981-22cf601752c4</vt:lpwstr>
  </property>
  <property fmtid="{D5CDD505-2E9C-101B-9397-08002B2CF9AE}" pid="3" name="bjSaver">
    <vt:lpwstr>qglTgjxhX5ZwLVdzNqEaLHrnisq95dL9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Góreczny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10.130.247.150</vt:lpwstr>
  </property>
  <property fmtid="{D5CDD505-2E9C-101B-9397-08002B2CF9AE}" pid="12" name="bjpmDocIH">
    <vt:lpwstr>zYQ4Zgx1H4HRbx8DlUxUA4HQBx7nR7Ss</vt:lpwstr>
  </property>
</Properties>
</file>