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Standard"/>
        <w:tabs>
          <w:tab w:val="left" w:pos="567"/>
        </w:tabs>
        <w:spacing w:line="276" w:lineRule="auto"/>
        <w:jc w:val="center"/>
      </w:pPr>
      <w:r>
        <w:rPr>
          <w:rFonts w:ascii="Cambria" w:hAnsi="Cambria"/>
          <w:bCs/>
        </w:rPr>
        <w:t>(Zna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955DEB">
        <w:rPr>
          <w:rFonts w:ascii="Cambria" w:hAnsi="Cambria"/>
          <w:b/>
          <w:bCs/>
          <w:lang w:eastAsia="pl-PL"/>
        </w:rPr>
        <w:t>12</w:t>
      </w:r>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0" w:name="Bookmark"/>
      <w:bookmarkEnd w:id="0"/>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706A08">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sidR="00706A08" w:rsidRPr="00706A08">
        <w:rPr>
          <w:rFonts w:ascii="Cambria" w:hAnsi="Cambria" w:cs="†¯øw≥¸"/>
          <w:b/>
          <w:bCs/>
        </w:rPr>
        <w:t xml:space="preserve">Wzmocnienie i rozwój bazy edukacyjnej w gminie Wojaszówka” – roboty budowlane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Pr="00955DEB" w:rsidRDefault="003C7897">
      <w:pPr>
        <w:pStyle w:val="Standard"/>
        <w:widowControl w:val="0"/>
        <w:spacing w:line="276" w:lineRule="auto"/>
        <w:jc w:val="center"/>
        <w:rPr>
          <w:rFonts w:ascii="Cambria" w:hAnsi="Cambria"/>
        </w:rPr>
      </w:pPr>
      <w:r w:rsidRPr="00955DEB">
        <w:rPr>
          <w:rFonts w:ascii="Cambria" w:hAnsi="Cambria" w:cs="†¯øw≥¸"/>
          <w:b/>
          <w:color w:val="000000"/>
        </w:rPr>
        <w:t>§ 2</w:t>
      </w:r>
    </w:p>
    <w:p w:rsidR="005C021E" w:rsidRPr="00955DEB" w:rsidRDefault="003C7897">
      <w:pPr>
        <w:pStyle w:val="Standard"/>
        <w:widowControl w:val="0"/>
        <w:spacing w:line="276" w:lineRule="auto"/>
        <w:jc w:val="center"/>
        <w:rPr>
          <w:rFonts w:ascii="Cambria" w:hAnsi="Cambria"/>
        </w:rPr>
      </w:pPr>
      <w:r w:rsidRPr="00955DEB">
        <w:rPr>
          <w:rFonts w:ascii="Cambria" w:hAnsi="Cambria" w:cs="†¯øw≥¸"/>
          <w:b/>
          <w:color w:val="000000"/>
        </w:rPr>
        <w:t>Termin wykonania umowy</w:t>
      </w:r>
    </w:p>
    <w:p w:rsidR="00955DEB" w:rsidRPr="00955DEB" w:rsidRDefault="00955DEB" w:rsidP="00955DEB">
      <w:pPr>
        <w:spacing w:line="276" w:lineRule="auto"/>
        <w:jc w:val="both"/>
        <w:outlineLvl w:val="3"/>
        <w:rPr>
          <w:rFonts w:ascii="Cambria" w:hAnsi="Cambria" w:cs="†¯øw≥¸"/>
        </w:rPr>
      </w:pPr>
      <w:r w:rsidRPr="00955DEB">
        <w:rPr>
          <w:rFonts w:ascii="Cambria" w:hAnsi="Cambria" w:cs="†¯øw≥¸"/>
        </w:rPr>
        <w:t xml:space="preserve">1. </w:t>
      </w:r>
      <w:r w:rsidR="003C7897" w:rsidRPr="00955DEB">
        <w:rPr>
          <w:rFonts w:ascii="Cambria" w:hAnsi="Cambria" w:cs="†¯øw≥¸"/>
        </w:rPr>
        <w:t>Wykonawca jest zobowiązany do wykonania świadczenia wsk</w:t>
      </w:r>
      <w:r>
        <w:rPr>
          <w:rFonts w:ascii="Cambria" w:hAnsi="Cambria" w:cs="†¯øw≥¸"/>
        </w:rPr>
        <w:t xml:space="preserve">azanego w § 1 </w:t>
      </w:r>
      <w:r>
        <w:rPr>
          <w:rFonts w:ascii="Cambria" w:hAnsi="Cambria" w:cs="†¯øw≥¸"/>
        </w:rPr>
        <w:br/>
        <w:t>umowy w terminie:</w:t>
      </w:r>
    </w:p>
    <w:p w:rsidR="00955DEB" w:rsidRPr="00955DEB" w:rsidRDefault="00955DEB" w:rsidP="00955DEB">
      <w:pPr>
        <w:spacing w:line="276" w:lineRule="auto"/>
        <w:jc w:val="both"/>
        <w:outlineLvl w:val="3"/>
        <w:rPr>
          <w:rFonts w:ascii="Cambria" w:hAnsi="Cambria" w:cs="Arial"/>
          <w:bCs/>
        </w:rPr>
      </w:pPr>
      <w:r w:rsidRPr="00955DEB">
        <w:rPr>
          <w:rFonts w:ascii="Cambria" w:hAnsi="Cambria" w:cs="Arial"/>
          <w:bCs/>
        </w:rPr>
        <w:t xml:space="preserve">- do </w:t>
      </w:r>
      <w:r w:rsidRPr="00955DEB">
        <w:rPr>
          <w:rFonts w:ascii="Cambria" w:hAnsi="Cambria" w:cs="Arial"/>
          <w:b/>
          <w:bCs/>
        </w:rPr>
        <w:t>30.09.2024</w:t>
      </w:r>
      <w:r w:rsidRPr="00955DEB">
        <w:rPr>
          <w:rFonts w:ascii="Cambria" w:hAnsi="Cambria" w:cs="Arial"/>
          <w:bCs/>
        </w:rPr>
        <w:t xml:space="preserve"> r. modernizację pomieszczeń szkolnych na pracownię STEAM, dostosowanie pomieszczeń szkolnych do potrzeb osób niepełnosprawnych - jeżeli prace będą prowadzone po 30 sierpnia  to należy je tak zorganizować aby nie utrudniać zajęć lekcyjnych - np. od piątku godzin popołudniowych i w soboty ( pozycje 2 – 7 zakresu robót z wyłączeniem dostawy i montażu podnośników pionowych w SP Odrzykoń), pomieszczenia po wykonaniu remontu winny być posprzątane - przygotowane do prowadzenia zajęć lekcyjnych. </w:t>
      </w:r>
    </w:p>
    <w:p w:rsidR="00955DEB" w:rsidRPr="00955DEB" w:rsidRDefault="00955DEB" w:rsidP="00955DEB">
      <w:pPr>
        <w:spacing w:line="276" w:lineRule="auto"/>
        <w:jc w:val="both"/>
        <w:outlineLvl w:val="3"/>
        <w:rPr>
          <w:rFonts w:ascii="Cambria" w:hAnsi="Cambria" w:cs="Arial"/>
          <w:bCs/>
          <w:spacing w:val="-2"/>
        </w:rPr>
      </w:pPr>
      <w:r w:rsidRPr="00955DEB">
        <w:rPr>
          <w:rFonts w:ascii="Cambria" w:hAnsi="Cambria" w:cs="Arial"/>
          <w:bCs/>
          <w:spacing w:val="-2"/>
        </w:rPr>
        <w:t xml:space="preserve">- do </w:t>
      </w:r>
      <w:r w:rsidRPr="00955DEB">
        <w:rPr>
          <w:rFonts w:ascii="Cambria" w:hAnsi="Cambria" w:cs="Arial"/>
          <w:b/>
          <w:bCs/>
          <w:spacing w:val="-2"/>
        </w:rPr>
        <w:t>08.11.2024</w:t>
      </w:r>
      <w:r w:rsidRPr="00955DEB">
        <w:rPr>
          <w:rFonts w:ascii="Cambria" w:hAnsi="Cambria" w:cs="Arial"/>
          <w:bCs/>
          <w:spacing w:val="-2"/>
        </w:rPr>
        <w:t xml:space="preserve"> r. modernizacja sali gimnastycznej w SP Przybówce, dostawa </w:t>
      </w:r>
      <w:proofErr w:type="spellStart"/>
      <w:r w:rsidRPr="00955DEB">
        <w:rPr>
          <w:rFonts w:ascii="Cambria" w:hAnsi="Cambria" w:cs="Arial"/>
          <w:bCs/>
          <w:spacing w:val="-2"/>
        </w:rPr>
        <w:t>schodołazów</w:t>
      </w:r>
      <w:proofErr w:type="spellEnd"/>
      <w:r w:rsidRPr="00955DEB">
        <w:rPr>
          <w:rFonts w:ascii="Cambria" w:hAnsi="Cambria" w:cs="Arial"/>
          <w:bCs/>
          <w:spacing w:val="-2"/>
        </w:rPr>
        <w:t xml:space="preserve"> ( pozycje 1, 8 i dostawa i montaż podnośników pionowych w SP Odrzykoniu )</w:t>
      </w:r>
    </w:p>
    <w:p w:rsidR="00955DEB" w:rsidRPr="00955DEB" w:rsidRDefault="00955DEB" w:rsidP="00955DEB">
      <w:pPr>
        <w:spacing w:line="276" w:lineRule="auto"/>
        <w:jc w:val="both"/>
        <w:outlineLvl w:val="3"/>
        <w:rPr>
          <w:rFonts w:ascii="Cambria" w:hAnsi="Cambria" w:cs="Arial"/>
          <w:bCs/>
        </w:rPr>
      </w:pPr>
      <w:r w:rsidRPr="00955DEB">
        <w:rPr>
          <w:rFonts w:ascii="Cambria" w:hAnsi="Cambria" w:cs="Arial"/>
          <w:bCs/>
        </w:rPr>
        <w:t>- szczegółowe terminy określa harmonogram robót zał. do umowy</w:t>
      </w:r>
    </w:p>
    <w:p w:rsidR="00955DEB" w:rsidRPr="00955DEB" w:rsidRDefault="00955DEB" w:rsidP="00955DEB">
      <w:pPr>
        <w:pStyle w:val="Akapitzlist"/>
        <w:widowControl w:val="0"/>
        <w:spacing w:line="276" w:lineRule="auto"/>
        <w:ind w:left="567"/>
        <w:jc w:val="both"/>
        <w:rPr>
          <w:rFonts w:ascii="Cambria" w:hAnsi="Cambria" w:cs="†¯øw≥¸"/>
          <w:b/>
        </w:rPr>
      </w:pPr>
    </w:p>
    <w:p w:rsidR="00955DEB" w:rsidRPr="00955DEB" w:rsidRDefault="00955DEB" w:rsidP="00955DEB">
      <w:pPr>
        <w:pStyle w:val="Akapitzlist"/>
        <w:widowControl w:val="0"/>
        <w:spacing w:line="276" w:lineRule="auto"/>
        <w:ind w:left="567"/>
        <w:jc w:val="both"/>
        <w:rPr>
          <w:rFonts w:ascii="Cambria" w:hAnsi="Cambria" w:cs="†¯øw≥¸"/>
          <w:b/>
        </w:rPr>
      </w:pPr>
    </w:p>
    <w:p w:rsidR="00955DEB" w:rsidRPr="00955DEB" w:rsidRDefault="003C7897" w:rsidP="00955DEB">
      <w:pPr>
        <w:spacing w:line="276" w:lineRule="auto"/>
        <w:jc w:val="both"/>
        <w:rPr>
          <w:rFonts w:ascii="Cambria" w:hAnsi="Cambria"/>
        </w:rPr>
      </w:pPr>
      <w:r w:rsidRPr="00955DEB">
        <w:rPr>
          <w:rFonts w:ascii="Cambria" w:hAnsi="Cambria" w:cs="Arial"/>
          <w:bCs/>
          <w:u w:val="single"/>
        </w:rPr>
        <w:t>Za termin wykonania zamówienia strony uznają zgłoszenie gotowości odbioru wraz z kompletem dokumentów wymaganych do odbioru.</w:t>
      </w:r>
      <w:bookmarkStart w:id="1" w:name="_Hlk55506905"/>
    </w:p>
    <w:bookmarkEnd w:id="1"/>
    <w:p w:rsidR="00955DEB" w:rsidRDefault="00955DEB">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3</w:t>
      </w:r>
    </w:p>
    <w:p w:rsidR="005C021E" w:rsidRDefault="003C7897">
      <w:pPr>
        <w:pStyle w:val="Standard"/>
        <w:widowControl w:val="0"/>
        <w:spacing w:line="276" w:lineRule="auto"/>
        <w:jc w:val="center"/>
      </w:pPr>
      <w:r>
        <w:rPr>
          <w:rFonts w:ascii="Cambria" w:hAnsi="Cambria" w:cs="†¯øw≥¸"/>
          <w:b/>
          <w:color w:val="000000"/>
        </w:rPr>
        <w:t>Wykonawca i Podwykonawcy</w:t>
      </w:r>
    </w:p>
    <w:p w:rsidR="000863CA" w:rsidRPr="00FD5DC7" w:rsidRDefault="007C6070" w:rsidP="000863CA">
      <w:pPr>
        <w:widowControl/>
        <w:numPr>
          <w:ilvl w:val="0"/>
          <w:numId w:val="80"/>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bookmarkStart w:id="2" w:name="_GoBack"/>
      <w:bookmarkEnd w:id="2"/>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91124A">
      <w:pPr>
        <w:widowControl/>
        <w:numPr>
          <w:ilvl w:val="0"/>
          <w:numId w:val="81"/>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lastRenderedPageBreak/>
        <w:t>uzależniających uzyskanie przez Podwykonawcę płatności od Wykonawcy od zapłaty przez Zamawiającego Wykonawcy wynagrodzenia obejmującego zakres robót wykonanych przez Podwykonawcę;</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0863CA" w:rsidRPr="000863CA">
        <w:rPr>
          <w:rFonts w:ascii="Cambria" w:hAnsi="Cambria" w:cs="Arial"/>
        </w:rPr>
        <w:t>5.</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 xml:space="preserve">Jeżeli zobowiązania Podwykonawcy wobec Wykonawcy związane z wykonanymi robotami lub dostarczonymi materiałami, obejmuje okres dłuższy niż okres gwarancyjny ustalony </w:t>
      </w:r>
      <w:r w:rsidRPr="007C6070">
        <w:rPr>
          <w:rFonts w:ascii="Cambria" w:hAnsi="Cambria" w:cs="Arial"/>
          <w:color w:val="000000"/>
        </w:rPr>
        <w:lastRenderedPageBreak/>
        <w:t>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lastRenderedPageBreak/>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 xml:space="preserve">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t>
      </w:r>
      <w:r>
        <w:rPr>
          <w:rFonts w:ascii="Cambria" w:eastAsia="Times New Roman" w:hAnsi="Cambria" w:cs="Times New Roman"/>
          <w:lang w:eastAsia="pl-PL"/>
        </w:rPr>
        <w:lastRenderedPageBreak/>
        <w:t>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lastRenderedPageBreak/>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 xml:space="preserve">współpraca z Wykonawcą w celu terminowego wykonania przez niego zobowiązań oraz informowanie Wykonawcy o zmianach i sytuacjach, które mogłyby wpłynąć na wykonanie </w:t>
      </w:r>
      <w:r>
        <w:rPr>
          <w:rFonts w:ascii="Cambria" w:hAnsi="Cambria" w:cs="†¯øw≥¸"/>
          <w:color w:val="000000"/>
        </w:rPr>
        <w:lastRenderedPageBreak/>
        <w:t>przedmiotu umowy;</w:t>
      </w:r>
    </w:p>
    <w:p w:rsidR="00DE14CC" w:rsidRDefault="00DE14CC" w:rsidP="008446B1">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końcową</w:t>
      </w:r>
      <w:r>
        <w:rPr>
          <w:rFonts w:ascii="Cambria" w:hAnsi="Cambria" w:cs="Tahoma"/>
          <w:bCs/>
        </w:rPr>
        <w:t xml:space="preserve">, </w:t>
      </w:r>
      <w:r>
        <w:rPr>
          <w:rFonts w:ascii="Cambria" w:hAnsi="Cambria" w:cs="Tahoma"/>
          <w:bCs/>
          <w:spacing w:val="-2"/>
        </w:rPr>
        <w:t>po zakończeniu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końcowa nastąpi na podstawie faktury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Pr>
          <w:rFonts w:ascii="Cambria" w:eastAsia="Calibri" w:hAnsi="Cambria" w:cs="ArialNarrow"/>
          <w:color w:val="000000"/>
        </w:rPr>
        <w:lastRenderedPageBreak/>
        <w:t xml:space="preserve">oświadczeniem podwykonawców </w:t>
      </w:r>
      <w:r>
        <w:rPr>
          <w:rFonts w:ascii="Cambria" w:hAnsi="Cambria" w:cs="ArialNarrow"/>
          <w:color w:val="000000"/>
        </w:rPr>
        <w:t>o otrzymaniu od Wykonawcy wynagrodzenia za wykonaną przez danego Podwykonawcę część przedmiotu umowy.</w:t>
      </w:r>
    </w:p>
    <w:p w:rsidR="005C021E" w:rsidRDefault="003C7897">
      <w:pPr>
        <w:pStyle w:val="Standard"/>
        <w:widowControl w:val="0"/>
        <w:numPr>
          <w:ilvl w:val="2"/>
          <w:numId w:val="48"/>
        </w:numPr>
        <w:spacing w:line="276" w:lineRule="auto"/>
        <w:jc w:val="both"/>
      </w:pPr>
      <w:r>
        <w:rPr>
          <w:rFonts w:ascii="Cambria" w:eastAsia="Calibri" w:hAnsi="Cambria" w:cs="ArialNarrow"/>
          <w:color w:val="000000"/>
        </w:rPr>
        <w:t>Terminy, o których mowa w ust. 2 rozpoczną swój bieg w przypadku łącznego wystąpienia następujących przesłanek:</w:t>
      </w:r>
    </w:p>
    <w:p w:rsidR="005C021E" w:rsidRDefault="003C7897" w:rsidP="0091124A">
      <w:pPr>
        <w:pStyle w:val="Standard"/>
        <w:numPr>
          <w:ilvl w:val="0"/>
          <w:numId w:val="59"/>
        </w:numPr>
        <w:spacing w:line="276" w:lineRule="auto"/>
        <w:ind w:left="709" w:hanging="283"/>
        <w:jc w:val="both"/>
      </w:pPr>
      <w:r>
        <w:rPr>
          <w:rFonts w:ascii="Cambria" w:eastAsia="Calibri" w:hAnsi="Cambria" w:cs="ArialNarrow"/>
          <w:color w:val="000000"/>
        </w:rPr>
        <w:t>przedłożenie Zamawiającemu oświadczeń wszystkich podwykonawców lub dalszych podwykonawców, względem których Zamawiający wraz z Wykonawcą ponosi solidarną odpowiedzialność wynikającą z niniejszej umowy, że wszelkie wzajemne zobowiązania finansowe związane z wykonanymi pracami, stanowiącymi przedmiot umów o podwykonawstwo, zostały przez Wykonawcę uregulowane,</w:t>
      </w:r>
    </w:p>
    <w:p w:rsidR="005C021E" w:rsidRDefault="003C7897">
      <w:pPr>
        <w:pStyle w:val="Standard"/>
        <w:numPr>
          <w:ilvl w:val="0"/>
          <w:numId w:val="44"/>
        </w:numPr>
        <w:spacing w:line="276" w:lineRule="auto"/>
        <w:ind w:left="709" w:hanging="283"/>
        <w:jc w:val="both"/>
      </w:pPr>
      <w:r>
        <w:rPr>
          <w:rFonts w:ascii="Cambria" w:eastAsia="Calibri" w:hAnsi="Cambria" w:cs="ArialNarrow"/>
          <w:color w:val="000000"/>
        </w:rPr>
        <w:t>przedłożenia Zamawiającemu przez Wykonawcę w formie tabelarycznej zestawienia należności wraz z informacjami o ich spłacie dla wszystkich podwykonawców lub dalszych podwykonawców względem których Zamawiający wraz z Wykonawcą ponosi solidarną odpowiedzialność wynikającą z niniejszej umowy, za wykonane prace, stanowiące przedmiot umów o podwykonawstwo.</w:t>
      </w:r>
    </w:p>
    <w:p w:rsidR="005C021E" w:rsidRDefault="003C7897">
      <w:pPr>
        <w:pStyle w:val="Standard"/>
        <w:numPr>
          <w:ilvl w:val="2"/>
          <w:numId w:val="48"/>
        </w:numPr>
        <w:spacing w:line="276" w:lineRule="auto"/>
        <w:jc w:val="both"/>
      </w:pPr>
      <w:r>
        <w:rPr>
          <w:rFonts w:ascii="Cambria" w:eastAsia="Calibri" w:hAnsi="Cambria" w:cs="ArialNarrow"/>
          <w:color w:val="000000"/>
        </w:rPr>
        <w:t xml:space="preserve">Oświadczenia podwykonawców lub dalszych podwykonawców, o których mowa </w:t>
      </w:r>
      <w:r>
        <w:rPr>
          <w:rFonts w:ascii="Cambria" w:eastAsia="Calibri" w:hAnsi="Cambria" w:cs="ArialNarrow"/>
          <w:color w:val="000000"/>
        </w:rPr>
        <w:br/>
        <w:t>w ust. 5 powinny odpowiadać swoją formą i treścią oświadczeniom,</w:t>
      </w:r>
      <w:r>
        <w:rPr>
          <w:rFonts w:ascii="Cambria" w:eastAsia="Calibri" w:hAnsi="Cambria" w:cs="ArialNarrow"/>
          <w:color w:val="FF0000"/>
        </w:rPr>
        <w:t xml:space="preserve"> </w:t>
      </w:r>
      <w:r>
        <w:rPr>
          <w:rFonts w:ascii="Cambria" w:eastAsia="Calibri" w:hAnsi="Cambria" w:cs="ArialNarrow"/>
          <w:u w:val="single"/>
        </w:rPr>
        <w:t>stanowiącym odpowiednie załączniki do umowy</w:t>
      </w:r>
      <w:r>
        <w:rPr>
          <w:rFonts w:ascii="Cambria" w:eastAsia="Calibri" w:hAnsi="Cambria" w:cs="ArialNarrow"/>
        </w:rPr>
        <w:t>.</w:t>
      </w:r>
    </w:p>
    <w:p w:rsidR="005C021E" w:rsidRDefault="003C7897">
      <w:pPr>
        <w:pStyle w:val="Standard"/>
        <w:numPr>
          <w:ilvl w:val="2"/>
          <w:numId w:val="48"/>
        </w:numPr>
        <w:spacing w:line="276" w:lineRule="auto"/>
        <w:jc w:val="both"/>
      </w:pPr>
      <w:r>
        <w:rPr>
          <w:rFonts w:ascii="Cambria" w:eastAsia="Calibri" w:hAnsi="Cambria" w:cs="ArialNarrow"/>
          <w:color w:val="000000"/>
        </w:rPr>
        <w:t>Wynagrodzenie należne Wykonawcy zostanie przekazane na jego rachunek bankowy wskazany w fakturze, z zastrzeżeniem ust. 9.</w:t>
      </w:r>
    </w:p>
    <w:p w:rsidR="005C021E" w:rsidRDefault="003C7897">
      <w:pPr>
        <w:pStyle w:val="Standard"/>
        <w:numPr>
          <w:ilvl w:val="2"/>
          <w:numId w:val="48"/>
        </w:numPr>
        <w:spacing w:line="276" w:lineRule="auto"/>
        <w:jc w:val="both"/>
      </w:pPr>
      <w:r>
        <w:rPr>
          <w:rFonts w:ascii="Cambria" w:eastAsia="Calibri" w:hAnsi="Cambria" w:cs="ArialNarrow"/>
          <w:color w:val="000000"/>
        </w:rPr>
        <w:t>Warunkiem przekazania Wykonawcy wynagrodzenia w pełnej kwocie jest przedłożenie Zamawiającemu oświadczeń podwykonawców lub dalszych podwykonawców, o których mowa w ust. 5, o treści wskazanej w ust. 6, w stosunku do których Zamawiający ponosi solidarną odpowiedzialność na zasadzie, że wszelkie należności wobec nich zostały przez Wykonawcę uregulowane, w tym należności zafakturowane, wymagalne po dacie płatności względem Wykonawcy.</w:t>
      </w:r>
    </w:p>
    <w:p w:rsidR="005C021E" w:rsidRDefault="003C7897">
      <w:pPr>
        <w:pStyle w:val="Standard"/>
        <w:numPr>
          <w:ilvl w:val="2"/>
          <w:numId w:val="48"/>
        </w:numPr>
        <w:spacing w:line="276" w:lineRule="auto"/>
        <w:jc w:val="both"/>
      </w:pPr>
      <w:r>
        <w:rPr>
          <w:rFonts w:ascii="Cambria" w:eastAsia="Calibri" w:hAnsi="Cambria" w:cs="ArialNarrow"/>
          <w:color w:val="000000"/>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rsidR="005C021E" w:rsidRDefault="003C7897">
      <w:pPr>
        <w:pStyle w:val="Standard"/>
        <w:numPr>
          <w:ilvl w:val="2"/>
          <w:numId w:val="48"/>
        </w:numPr>
        <w:spacing w:line="276" w:lineRule="auto"/>
        <w:jc w:val="both"/>
      </w:pPr>
      <w:r>
        <w:rPr>
          <w:rFonts w:ascii="Cambria" w:eastAsia="Calibri" w:hAnsi="Cambria" w:cs="ArialNarrow"/>
          <w:color w:val="000000"/>
        </w:rPr>
        <w:t>Wynagrodzenie, o którym mowa w ust. 10, dotyczy wyłącznie należności powstałych po zaakceptowaniu przez Zamawiającego umowy o podwykonawstwo.</w:t>
      </w:r>
    </w:p>
    <w:p w:rsidR="005C021E" w:rsidRDefault="003C7897">
      <w:pPr>
        <w:pStyle w:val="Standard"/>
        <w:numPr>
          <w:ilvl w:val="2"/>
          <w:numId w:val="48"/>
        </w:numPr>
        <w:spacing w:line="276" w:lineRule="auto"/>
        <w:jc w:val="both"/>
      </w:pPr>
      <w:r>
        <w:rPr>
          <w:rFonts w:ascii="Cambria" w:eastAsia="Calibri" w:hAnsi="Cambria" w:cs="ArialNarrow"/>
          <w:color w:val="000000"/>
        </w:rPr>
        <w:t>Bezpośrednia zapłata, o której mowa w ust. 10, obejmuje wyłącznie należne wynagrodzenie, bez odsetek, należnych podwykonawcy lub dalszemu podwykonawcy.</w:t>
      </w:r>
    </w:p>
    <w:p w:rsidR="005C021E" w:rsidRDefault="003C7897">
      <w:pPr>
        <w:pStyle w:val="Standard"/>
        <w:numPr>
          <w:ilvl w:val="2"/>
          <w:numId w:val="48"/>
        </w:numPr>
        <w:spacing w:line="276" w:lineRule="auto"/>
        <w:jc w:val="both"/>
      </w:pPr>
      <w:r>
        <w:rPr>
          <w:rFonts w:ascii="Cambria" w:eastAsia="Calibri" w:hAnsi="Cambria" w:cs="ArialNarrow"/>
          <w:color w:val="000000"/>
        </w:rPr>
        <w:t>Przed dokonaniem bezpośredniej zapłaty Wykonawca zostanie poinformowany przez Zamawiającego w formie pisemnej o:</w:t>
      </w:r>
    </w:p>
    <w:p w:rsidR="005C021E" w:rsidRDefault="003C7897" w:rsidP="0091124A">
      <w:pPr>
        <w:pStyle w:val="Standard"/>
        <w:numPr>
          <w:ilvl w:val="0"/>
          <w:numId w:val="60"/>
        </w:numPr>
        <w:spacing w:line="276" w:lineRule="auto"/>
        <w:ind w:left="709" w:hanging="283"/>
        <w:jc w:val="both"/>
      </w:pPr>
      <w:r>
        <w:rPr>
          <w:rFonts w:ascii="Cambria" w:eastAsia="Calibri" w:hAnsi="Cambria" w:cs="ArialNarrow"/>
          <w:color w:val="000000"/>
        </w:rPr>
        <w:t>zamiarze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rsidR="005C021E" w:rsidRDefault="003C7897">
      <w:pPr>
        <w:pStyle w:val="Standard"/>
        <w:numPr>
          <w:ilvl w:val="0"/>
          <w:numId w:val="45"/>
        </w:numPr>
        <w:spacing w:line="276" w:lineRule="auto"/>
        <w:ind w:left="709" w:hanging="283"/>
        <w:jc w:val="both"/>
      </w:pPr>
      <w:r>
        <w:rPr>
          <w:rFonts w:ascii="Cambria" w:eastAsia="Calibri" w:hAnsi="Cambria" w:cs="ArialNarrow"/>
          <w:color w:val="000000"/>
        </w:rPr>
        <w:t>możliwości zgłoszenia przez Wykonawcę, w terminie 7 dni od dnia otrzymania informacji, o której mowa w pkt 1, pisemnych uwag dotyczących zasadności bezpośredniej zapłaty wynagrodzenia podwykonawcy lub dalszemu podwykonawcy, o którym mowa w ust. 12.</w:t>
      </w:r>
    </w:p>
    <w:p w:rsidR="005C021E" w:rsidRDefault="003C7897">
      <w:pPr>
        <w:pStyle w:val="Standard"/>
        <w:numPr>
          <w:ilvl w:val="2"/>
          <w:numId w:val="48"/>
        </w:numPr>
        <w:spacing w:line="276" w:lineRule="auto"/>
        <w:jc w:val="both"/>
      </w:pPr>
      <w:r>
        <w:rPr>
          <w:rFonts w:ascii="Cambria" w:eastAsia="Calibri" w:hAnsi="Cambria" w:cs="ArialNarrow"/>
          <w:color w:val="000000"/>
        </w:rPr>
        <w:lastRenderedPageBreak/>
        <w:t>W przypadku zgłoszenia przez Wykonawcę uwag, o których mowa w ust. 13 pkt. 2, w terminie 7 dni od dnia otrzymania informacji, o której mowa w ust. 13 pkt. 1 i 2, Zamawiający może:</w:t>
      </w:r>
    </w:p>
    <w:p w:rsidR="005C021E" w:rsidRDefault="003C7897" w:rsidP="0091124A">
      <w:pPr>
        <w:pStyle w:val="Standard"/>
        <w:numPr>
          <w:ilvl w:val="0"/>
          <w:numId w:val="61"/>
        </w:numPr>
        <w:spacing w:line="276" w:lineRule="auto"/>
        <w:ind w:left="709" w:hanging="283"/>
        <w:jc w:val="both"/>
      </w:pPr>
      <w:r>
        <w:rPr>
          <w:rFonts w:ascii="Cambria" w:eastAsia="Calibri" w:hAnsi="Cambria" w:cs="ArialNarrow"/>
          <w:color w:val="000000"/>
        </w:rPr>
        <w:t>nie dokonać bezpośredniej zapłaty wynagrodzenia podwykonawcy lub dalszemu podwykonawcy, jeżeli Wykonawca wykaże niezasadność takiej zapłaty, albo</w:t>
      </w:r>
    </w:p>
    <w:p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dokonać bezpośredniej zapłaty wynagrodzenia podwykonawcy lub dalszemu podwykonawcy, jeżeli podwykonawca lub dalszy podwykonawca wykaże zasadność takiej zapłaty.</w:t>
      </w:r>
    </w:p>
    <w:p w:rsidR="005C021E" w:rsidRDefault="003C7897">
      <w:pPr>
        <w:pStyle w:val="Standard"/>
        <w:numPr>
          <w:ilvl w:val="2"/>
          <w:numId w:val="48"/>
        </w:numPr>
        <w:tabs>
          <w:tab w:val="left" w:pos="426"/>
        </w:tabs>
        <w:spacing w:line="276" w:lineRule="auto"/>
        <w:jc w:val="both"/>
      </w:pPr>
      <w:r>
        <w:rPr>
          <w:rFonts w:ascii="Cambria" w:eastAsia="Calibri" w:hAnsi="Cambria" w:cs="ArialNarrow"/>
          <w:color w:val="000000"/>
        </w:rPr>
        <w:t>W przypadku dokonania bezpośredniej zapłaty podwykonawcy lub dalszemu podwykonawcy, o której mowa w ust. 12, Zamawiający potrąci kwotę wypłaconego podwykonawcy lub dalszemu podwykonawcy wynagrodzenia z wynagrodzenia należnego Wykonawcy.</w:t>
      </w:r>
    </w:p>
    <w:p w:rsidR="005C021E" w:rsidRDefault="003C7897">
      <w:pPr>
        <w:pStyle w:val="Standard"/>
        <w:numPr>
          <w:ilvl w:val="2"/>
          <w:numId w:val="48"/>
        </w:numPr>
        <w:tabs>
          <w:tab w:val="left" w:pos="426"/>
        </w:tabs>
        <w:spacing w:line="276" w:lineRule="auto"/>
        <w:jc w:val="both"/>
      </w:pPr>
      <w:r>
        <w:rPr>
          <w:rFonts w:ascii="Cambria" w:eastAsia="Calibri" w:hAnsi="Cambria" w:cs="ArialNarrow"/>
          <w:color w:val="000000"/>
        </w:rPr>
        <w:t xml:space="preserve">Termin zapłaty wynagrodzenia podwykonawcy lub dalszemu podwykonawcy, </w:t>
      </w:r>
      <w:r>
        <w:rPr>
          <w:rFonts w:ascii="Cambria" w:eastAsia="Calibri" w:hAnsi="Cambria" w:cs="ArialNarrow"/>
          <w:color w:val="000000"/>
        </w:rPr>
        <w:br/>
        <w:t xml:space="preserve">o której mowa w ust. 14 pkt 3, wynosi 21 dni od upływu terminu, o którym mowa </w:t>
      </w:r>
      <w:r>
        <w:rPr>
          <w:rFonts w:ascii="Cambria" w:eastAsia="Calibri" w:hAnsi="Cambria" w:cs="ArialNarrow"/>
          <w:color w:val="000000"/>
        </w:rPr>
        <w:br/>
        <w:t>w ust. 13 pkt 2).</w:t>
      </w:r>
    </w:p>
    <w:p w:rsidR="005C021E" w:rsidRDefault="003C7897">
      <w:pPr>
        <w:pStyle w:val="Standard"/>
        <w:numPr>
          <w:ilvl w:val="2"/>
          <w:numId w:val="48"/>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91124A">
      <w:pPr>
        <w:pStyle w:val="Standard"/>
        <w:numPr>
          <w:ilvl w:val="0"/>
          <w:numId w:val="62"/>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 xml:space="preserve">W przypadku, w którym Wykonawca, dla potrzeb płatności, wskaże rachunek bankowy zawarty w powyższym Wykazie w terminie późniejszym, ustalony pierwotnie termin </w:t>
      </w:r>
      <w:r>
        <w:rPr>
          <w:rFonts w:ascii="Cambria" w:eastAsia="Times New Roman" w:hAnsi="Cambria"/>
          <w:iCs/>
        </w:rPr>
        <w:lastRenderedPageBreak/>
        <w:t>płatności ulega wydłużeniu i wynosi 5 dni roboczych od dnia wskazania rachunku ujawnionego w/w Wykazie.</w:t>
      </w:r>
    </w:p>
    <w:p w:rsidR="005C021E" w:rsidRDefault="003C7897">
      <w:pPr>
        <w:pStyle w:val="Standard"/>
        <w:numPr>
          <w:ilvl w:val="2"/>
          <w:numId w:val="48"/>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3C7897">
      <w:pPr>
        <w:pStyle w:val="Standard"/>
        <w:numPr>
          <w:ilvl w:val="2"/>
          <w:numId w:val="48"/>
        </w:numPr>
        <w:tabs>
          <w:tab w:val="left" w:pos="426"/>
        </w:tabs>
        <w:spacing w:line="276" w:lineRule="auto"/>
        <w:jc w:val="both"/>
      </w:pPr>
      <w:r>
        <w:rPr>
          <w:rFonts w:ascii="Cambria" w:eastAsia="Calibri" w:hAnsi="Cambria" w:cs="ArialNarrow"/>
        </w:rPr>
        <w:t>W przypadku, o którym mowa w ust. 18, Zamawiający dokona zwrotu faktury bez jej zaksięgowania i zapłaty Wykonawcy, żądając jednocześnie dodatkowych wyjaśnień lub zmiany faktury.</w:t>
      </w:r>
    </w:p>
    <w:p w:rsidR="005C021E" w:rsidRDefault="003C7897">
      <w:pPr>
        <w:pStyle w:val="Standard"/>
        <w:numPr>
          <w:ilvl w:val="2"/>
          <w:numId w:val="48"/>
        </w:numPr>
        <w:tabs>
          <w:tab w:val="left" w:pos="426"/>
        </w:tabs>
        <w:spacing w:line="276" w:lineRule="auto"/>
        <w:jc w:val="both"/>
      </w:pPr>
      <w:r>
        <w:rPr>
          <w:rFonts w:ascii="Cambria" w:eastAsia="Calibri" w:hAnsi="Cambria" w:cs="ArialNarrow"/>
        </w:rPr>
        <w:t>Termin płatności faktury, o której mowa w ust. 2 i 3, w sytuacji opisanej w ust. 19, będzie liczony od dnia otrzymania wymaganych wyjaśnień lub prawidłowo wystawionej faktury.</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91124A">
      <w:pPr>
        <w:pStyle w:val="Standard"/>
        <w:numPr>
          <w:ilvl w:val="0"/>
          <w:numId w:val="63"/>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wniesione w pieniądzu zostanie zwrócone wraz z odsetkami wynikającymi z umowy rachunku bankowego Zamawiającego, na którym </w:t>
      </w:r>
      <w:r>
        <w:rPr>
          <w:rFonts w:ascii="Cambria" w:eastAsia="Calibri" w:hAnsi="Cambria" w:cs="ArialNarrow"/>
          <w:color w:val="000000"/>
        </w:rPr>
        <w:lastRenderedPageBreak/>
        <w:t>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3" w:name="Bookmark1"/>
    </w:p>
    <w:bookmarkEnd w:id="3"/>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91124A">
      <w:pPr>
        <w:pStyle w:val="Standard"/>
        <w:widowControl w:val="0"/>
        <w:numPr>
          <w:ilvl w:val="0"/>
          <w:numId w:val="64"/>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lastRenderedPageBreak/>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91124A">
      <w:pPr>
        <w:pStyle w:val="Akapitzlist"/>
        <w:widowControl w:val="0"/>
        <w:numPr>
          <w:ilvl w:val="0"/>
          <w:numId w:val="66"/>
        </w:numPr>
        <w:spacing w:line="276" w:lineRule="auto"/>
        <w:ind w:left="426" w:hanging="426"/>
        <w:jc w:val="both"/>
      </w:pPr>
      <w:r>
        <w:rPr>
          <w:rFonts w:ascii="Cambria" w:hAnsi="Cambria" w:cs="†¯øw≥¸"/>
        </w:rPr>
        <w:t>Strony przewidują kary umowne w następujących wypadkach i wysokościach:</w:t>
      </w:r>
    </w:p>
    <w:p w:rsidR="005C021E" w:rsidRDefault="003C7897" w:rsidP="0091124A">
      <w:pPr>
        <w:pStyle w:val="Akapitzlist"/>
        <w:widowControl w:val="0"/>
        <w:numPr>
          <w:ilvl w:val="0"/>
          <w:numId w:val="67"/>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lastRenderedPageBreak/>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91124A">
      <w:pPr>
        <w:pStyle w:val="Tekstpodstawowy2"/>
        <w:numPr>
          <w:ilvl w:val="0"/>
          <w:numId w:val="68"/>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91124A">
      <w:pPr>
        <w:pStyle w:val="Akapitzlist"/>
        <w:widowControl w:val="0"/>
        <w:numPr>
          <w:ilvl w:val="0"/>
          <w:numId w:val="69"/>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91124A">
      <w:pPr>
        <w:pStyle w:val="Akapitzlist"/>
        <w:widowControl w:val="0"/>
        <w:numPr>
          <w:ilvl w:val="0"/>
          <w:numId w:val="70"/>
        </w:numPr>
        <w:spacing w:line="276" w:lineRule="auto"/>
        <w:ind w:left="993" w:hanging="426"/>
        <w:jc w:val="both"/>
      </w:pPr>
      <w:r>
        <w:rPr>
          <w:rFonts w:ascii="Cambria" w:hAnsi="Cambria" w:cs="†¯øw≥¸"/>
          <w:color w:val="000000"/>
        </w:rPr>
        <w:t>wystąpienia siły wyższej w rozumieniu § 1</w:t>
      </w:r>
      <w:r w:rsidR="00782BB6">
        <w:rPr>
          <w:rFonts w:ascii="Cambria" w:hAnsi="Cambria" w:cs="†¯øw≥¸"/>
          <w:color w:val="000000"/>
        </w:rPr>
        <w:t>7</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lastRenderedPageBreak/>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91124A">
      <w:pPr>
        <w:pStyle w:val="Akapitzlist"/>
        <w:widowControl w:val="0"/>
        <w:numPr>
          <w:ilvl w:val="0"/>
          <w:numId w:val="71"/>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782BB6">
        <w:rPr>
          <w:rFonts w:ascii="Cambria" w:hAnsi="Cambria" w:cs="†¯øw≥¸"/>
        </w:rPr>
        <w:t>7</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91124A">
      <w:pPr>
        <w:pStyle w:val="Akapitzlist"/>
        <w:widowControl w:val="0"/>
        <w:numPr>
          <w:ilvl w:val="0"/>
          <w:numId w:val="72"/>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5C021E" w:rsidRDefault="005C021E" w:rsidP="00782BB6">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782BB6">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91124A">
      <w:pPr>
        <w:pStyle w:val="Akapitzlist"/>
        <w:widowControl w:val="0"/>
        <w:numPr>
          <w:ilvl w:val="0"/>
          <w:numId w:val="73"/>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91124A">
      <w:pPr>
        <w:pStyle w:val="Akapitzlist"/>
        <w:widowControl w:val="0"/>
        <w:numPr>
          <w:ilvl w:val="0"/>
          <w:numId w:val="74"/>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lastRenderedPageBreak/>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91124A">
      <w:pPr>
        <w:pStyle w:val="Akapitzlist"/>
        <w:widowControl w:val="0"/>
        <w:numPr>
          <w:ilvl w:val="0"/>
          <w:numId w:val="75"/>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782BB6">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91124A">
      <w:pPr>
        <w:pStyle w:val="Akapitzlist"/>
        <w:widowControl w:val="0"/>
        <w:numPr>
          <w:ilvl w:val="0"/>
          <w:numId w:val="76"/>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w:t>
      </w:r>
      <w:r>
        <w:rPr>
          <w:rFonts w:ascii="Cambria" w:hAnsi="Cambria" w:cs="†¯øw≥¸"/>
          <w:color w:val="000000"/>
        </w:rPr>
        <w:lastRenderedPageBreak/>
        <w:t>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w:t>
      </w:r>
      <w:r w:rsidR="003063AA">
        <w:rPr>
          <w:rFonts w:ascii="Cambria" w:hAnsi="Cambria"/>
          <w:b/>
          <w:color w:val="000000"/>
        </w:rPr>
        <w:t>8</w:t>
      </w:r>
      <w:r>
        <w:rPr>
          <w:rFonts w:ascii="Cambria" w:hAnsi="Cambria"/>
          <w:b/>
          <w:color w:val="000000"/>
        </w:rPr>
        <w:br/>
        <w:t>Ochrona danych osobowych</w:t>
      </w:r>
    </w:p>
    <w:p w:rsidR="005C021E" w:rsidRDefault="003C7897" w:rsidP="0091124A">
      <w:pPr>
        <w:pStyle w:val="Akapitzlist"/>
        <w:numPr>
          <w:ilvl w:val="0"/>
          <w:numId w:val="77"/>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FD5DC7" w:rsidRDefault="00FD5DC7" w:rsidP="009B1C0C">
      <w:pPr>
        <w:widowControl/>
        <w:spacing w:line="276" w:lineRule="auto"/>
        <w:jc w:val="center"/>
        <w:rPr>
          <w:rFonts w:ascii="Cambria" w:hAnsi="Cambria" w:cs="Arial"/>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3063AA">
        <w:rPr>
          <w:rFonts w:ascii="Cambria" w:hAnsi="Cambria" w:cs="Arial"/>
          <w:b/>
          <w:color w:val="000000"/>
        </w:rPr>
        <w:t>19</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w:t>
      </w:r>
      <w:r w:rsidRPr="009B1C0C">
        <w:rPr>
          <w:rFonts w:ascii="Cambria" w:hAnsi="Cambria" w:cs="Arial"/>
          <w:color w:val="000000"/>
        </w:rPr>
        <w:lastRenderedPageBreak/>
        <w:t>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rsidR="009B1C0C" w:rsidRPr="00955DEB" w:rsidRDefault="009B1C0C" w:rsidP="00955DEB">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D87CF5">
        <w:rPr>
          <w:rFonts w:ascii="Cambria" w:hAnsi="Cambria" w:cs="†¯øw≥¸"/>
          <w:b/>
          <w:color w:val="000000"/>
        </w:rPr>
        <w:t>0</w:t>
      </w:r>
    </w:p>
    <w:p w:rsidR="005C021E" w:rsidRDefault="003C7897">
      <w:pPr>
        <w:pStyle w:val="Standard"/>
        <w:widowControl w:val="0"/>
        <w:jc w:val="center"/>
      </w:pPr>
      <w:r>
        <w:rPr>
          <w:rFonts w:ascii="Cambria" w:hAnsi="Cambria" w:cs="†¯øw≥¸"/>
          <w:b/>
          <w:color w:val="000000"/>
        </w:rPr>
        <w:t>Postanowienia końcowe</w:t>
      </w:r>
    </w:p>
    <w:p w:rsidR="005C021E" w:rsidRDefault="003C7897" w:rsidP="0091124A">
      <w:pPr>
        <w:pStyle w:val="Akapitzlist"/>
        <w:widowControl w:val="0"/>
        <w:numPr>
          <w:ilvl w:val="0"/>
          <w:numId w:val="78"/>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 xml:space="preserve">Wszelkie spory wynikające z realizacji niniejszej umowy, których Strony nie rozwiążą w sposób polubowny, rozstrzygać będzie sąd miejscowo właściwy ze względu na siedzibę </w:t>
      </w:r>
      <w:r>
        <w:rPr>
          <w:rFonts w:ascii="Cambria" w:hAnsi="Cambria" w:cs="†¯øw≥¸"/>
          <w:color w:val="000000"/>
        </w:rPr>
        <w:lastRenderedPageBreak/>
        <w:t>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91124A">
      <w:pPr>
        <w:pStyle w:val="Akapitzlist"/>
        <w:widowControl w:val="0"/>
        <w:numPr>
          <w:ilvl w:val="0"/>
          <w:numId w:val="79"/>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0F52EC">
      <w:pPr>
        <w:pStyle w:val="Standard"/>
        <w:ind w:left="5245"/>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213" w:rsidRDefault="00755213">
      <w:r>
        <w:separator/>
      </w:r>
    </w:p>
  </w:endnote>
  <w:endnote w:type="continuationSeparator" w:id="0">
    <w:p w:rsidR="00755213" w:rsidRDefault="0075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FD5DC7">
      <w:rPr>
        <w:noProof/>
      </w:rPr>
      <w:t>20</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FD5DC7">
      <w:rPr>
        <w:noProof/>
      </w:rPr>
      <w:t>20</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213" w:rsidRDefault="00755213">
      <w:r>
        <w:rPr>
          <w:color w:val="000000"/>
        </w:rPr>
        <w:separator/>
      </w:r>
    </w:p>
  </w:footnote>
  <w:footnote w:type="continuationSeparator" w:id="0">
    <w:p w:rsidR="00755213" w:rsidRDefault="00755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D6FC3F78"/>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F664DB92"/>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835257D8"/>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521EA79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67C43DD0"/>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ECFE72BE"/>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4126A448"/>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D7346DD6"/>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6A5CAEB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C2D29D82"/>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13449954"/>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121C0B6A"/>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52072781"/>
    <w:multiLevelType w:val="multilevel"/>
    <w:tmpl w:val="7EE6DDBA"/>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55170E79"/>
    <w:multiLevelType w:val="multilevel"/>
    <w:tmpl w:val="F0049120"/>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682C2B"/>
    <w:multiLevelType w:val="multilevel"/>
    <w:tmpl w:val="4182A42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39"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2"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4"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5"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7"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48"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0"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num>
  <w:num w:numId="2">
    <w:abstractNumId w:val="35"/>
  </w:num>
  <w:num w:numId="3">
    <w:abstractNumId w:val="37"/>
  </w:num>
  <w:num w:numId="4">
    <w:abstractNumId w:val="18"/>
  </w:num>
  <w:num w:numId="5">
    <w:abstractNumId w:val="32"/>
  </w:num>
  <w:num w:numId="6">
    <w:abstractNumId w:val="3"/>
  </w:num>
  <w:num w:numId="7">
    <w:abstractNumId w:val="22"/>
  </w:num>
  <w:num w:numId="8">
    <w:abstractNumId w:val="8"/>
  </w:num>
  <w:num w:numId="9">
    <w:abstractNumId w:val="15"/>
  </w:num>
  <w:num w:numId="10">
    <w:abstractNumId w:val="26"/>
  </w:num>
  <w:num w:numId="11">
    <w:abstractNumId w:val="17"/>
  </w:num>
  <w:num w:numId="12">
    <w:abstractNumId w:val="23"/>
  </w:num>
  <w:num w:numId="13">
    <w:abstractNumId w:val="48"/>
  </w:num>
  <w:num w:numId="14">
    <w:abstractNumId w:val="51"/>
  </w:num>
  <w:num w:numId="15">
    <w:abstractNumId w:val="27"/>
  </w:num>
  <w:num w:numId="16">
    <w:abstractNumId w:val="12"/>
  </w:num>
  <w:num w:numId="17">
    <w:abstractNumId w:val="31"/>
  </w:num>
  <w:num w:numId="18">
    <w:abstractNumId w:val="28"/>
  </w:num>
  <w:num w:numId="19">
    <w:abstractNumId w:val="1"/>
  </w:num>
  <w:num w:numId="20">
    <w:abstractNumId w:val="24"/>
  </w:num>
  <w:num w:numId="21">
    <w:abstractNumId w:val="29"/>
  </w:num>
  <w:num w:numId="22">
    <w:abstractNumId w:val="44"/>
  </w:num>
  <w:num w:numId="23">
    <w:abstractNumId w:val="20"/>
  </w:num>
  <w:num w:numId="24">
    <w:abstractNumId w:val="50"/>
  </w:num>
  <w:num w:numId="25">
    <w:abstractNumId w:val="19"/>
  </w:num>
  <w:num w:numId="26">
    <w:abstractNumId w:val="52"/>
  </w:num>
  <w:num w:numId="27">
    <w:abstractNumId w:val="25"/>
  </w:num>
  <w:num w:numId="28">
    <w:abstractNumId w:val="38"/>
  </w:num>
  <w:num w:numId="29">
    <w:abstractNumId w:val="47"/>
  </w:num>
  <w:num w:numId="30">
    <w:abstractNumId w:val="6"/>
  </w:num>
  <w:num w:numId="31">
    <w:abstractNumId w:val="0"/>
    <w:lvlOverride w:ilvl="2">
      <w:lvl w:ilvl="2">
        <w:start w:val="1"/>
        <w:numFmt w:val="lowerLetter"/>
        <w:lvlText w:val="%3)"/>
        <w:lvlJc w:val="left"/>
        <w:pPr>
          <w:ind w:left="2340" w:hanging="360"/>
        </w:pPr>
        <w:rPr>
          <w:b w:val="0"/>
        </w:rPr>
      </w:lvl>
    </w:lvlOverride>
  </w:num>
  <w:num w:numId="32">
    <w:abstractNumId w:val="43"/>
    <w:lvlOverride w:ilvl="2">
      <w:lvl w:ilvl="2">
        <w:start w:val="1"/>
        <w:numFmt w:val="lowerLetter"/>
        <w:lvlText w:val="%3)"/>
        <w:lvlJc w:val="left"/>
        <w:pPr>
          <w:ind w:left="720" w:hanging="360"/>
        </w:pPr>
      </w:lvl>
    </w:lvlOverride>
  </w:num>
  <w:num w:numId="33">
    <w:abstractNumId w:val="42"/>
  </w:num>
  <w:num w:numId="34">
    <w:abstractNumId w:val="49"/>
  </w:num>
  <w:num w:numId="35">
    <w:abstractNumId w:val="46"/>
  </w:num>
  <w:num w:numId="36">
    <w:abstractNumId w:val="2"/>
  </w:num>
  <w:num w:numId="37">
    <w:abstractNumId w:val="41"/>
  </w:num>
  <w:num w:numId="38">
    <w:abstractNumId w:val="14"/>
  </w:num>
  <w:num w:numId="39">
    <w:abstractNumId w:val="45"/>
  </w:num>
  <w:num w:numId="40">
    <w:abstractNumId w:val="9"/>
  </w:num>
  <w:num w:numId="41">
    <w:abstractNumId w:val="21"/>
  </w:num>
  <w:num w:numId="42">
    <w:abstractNumId w:val="5"/>
  </w:num>
  <w:num w:numId="43">
    <w:abstractNumId w:val="10"/>
  </w:num>
  <w:num w:numId="44">
    <w:abstractNumId w:val="30"/>
  </w:num>
  <w:num w:numId="45">
    <w:abstractNumId w:val="11"/>
  </w:num>
  <w:num w:numId="46">
    <w:abstractNumId w:val="7"/>
  </w:num>
  <w:num w:numId="47">
    <w:abstractNumId w:val="13"/>
  </w:num>
  <w:num w:numId="48">
    <w:abstractNumId w:val="36"/>
  </w:num>
  <w:num w:numId="49">
    <w:abstractNumId w:val="4"/>
  </w:num>
  <w:num w:numId="50">
    <w:abstractNumId w:val="33"/>
  </w:num>
  <w:num w:numId="51">
    <w:abstractNumId w:val="16"/>
    <w:lvlOverride w:ilvl="0">
      <w:startOverride w:val="1"/>
    </w:lvlOverride>
  </w:num>
  <w:num w:numId="52">
    <w:abstractNumId w:val="20"/>
    <w:lvlOverride w:ilvl="0">
      <w:startOverride w:val="1"/>
    </w:lvlOverride>
  </w:num>
  <w:num w:numId="53">
    <w:abstractNumId w:val="2"/>
    <w:lvlOverride w:ilvl="0">
      <w:startOverride w:val="1"/>
    </w:lvlOverride>
  </w:num>
  <w:num w:numId="54">
    <w:abstractNumId w:val="46"/>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0"/>
    <w:lvlOverride w:ilvl="0">
      <w:startOverride w:val="1"/>
    </w:lvlOverride>
  </w:num>
  <w:num w:numId="60">
    <w:abstractNumId w:val="11"/>
    <w:lvlOverride w:ilvl="0">
      <w:startOverride w:val="1"/>
    </w:lvlOverride>
  </w:num>
  <w:num w:numId="61">
    <w:abstractNumId w:val="7"/>
    <w:lvlOverride w:ilvl="0">
      <w:startOverride w:val="1"/>
    </w:lvlOverride>
  </w:num>
  <w:num w:numId="62">
    <w:abstractNumId w:val="33"/>
    <w:lvlOverride w:ilvl="0">
      <w:startOverride w:val="2"/>
    </w:lvlOverride>
  </w:num>
  <w:num w:numId="63">
    <w:abstractNumId w:val="22"/>
    <w:lvlOverride w:ilvl="0">
      <w:startOverride w:val="1"/>
    </w:lvlOverride>
  </w:num>
  <w:num w:numId="64">
    <w:abstractNumId w:val="3"/>
    <w:lvlOverride w:ilvl="0">
      <w:startOverride w:val="1"/>
    </w:lvlOverride>
  </w:num>
  <w:num w:numId="65">
    <w:abstractNumId w:val="19"/>
    <w:lvlOverride w:ilvl="0">
      <w:startOverride w:val="1"/>
    </w:lvlOverride>
  </w:num>
  <w:num w:numId="66">
    <w:abstractNumId w:val="31"/>
    <w:lvlOverride w:ilvl="0">
      <w:startOverride w:val="1"/>
    </w:lvlOverride>
  </w:num>
  <w:num w:numId="67">
    <w:abstractNumId w:val="24"/>
    <w:lvlOverride w:ilvl="0">
      <w:startOverride w:val="1"/>
    </w:lvlOverride>
  </w:num>
  <w:num w:numId="68">
    <w:abstractNumId w:val="5"/>
    <w:lvlOverride w:ilvl="0">
      <w:startOverride w:val="1"/>
    </w:lvlOverride>
  </w:num>
  <w:num w:numId="69">
    <w:abstractNumId w:val="28"/>
    <w:lvlOverride w:ilvl="0">
      <w:startOverride w:val="1"/>
    </w:lvlOverride>
  </w:num>
  <w:num w:numId="70">
    <w:abstractNumId w:val="8"/>
    <w:lvlOverride w:ilvl="0">
      <w:startOverride w:val="1"/>
    </w:lvlOverride>
  </w:num>
  <w:num w:numId="71">
    <w:abstractNumId w:val="26"/>
    <w:lvlOverride w:ilvl="0">
      <w:startOverride w:val="1"/>
    </w:lvlOverride>
  </w:num>
  <w:num w:numId="72">
    <w:abstractNumId w:val="52"/>
    <w:lvlOverride w:ilvl="0">
      <w:startOverride w:val="1"/>
    </w:lvlOverride>
  </w:num>
  <w:num w:numId="73">
    <w:abstractNumId w:val="17"/>
    <w:lvlOverride w:ilvl="0">
      <w:startOverride w:val="1"/>
    </w:lvlOverride>
  </w:num>
  <w:num w:numId="74">
    <w:abstractNumId w:val="48"/>
    <w:lvlOverride w:ilvl="0">
      <w:startOverride w:val="1"/>
    </w:lvlOverride>
  </w:num>
  <w:num w:numId="75">
    <w:abstractNumId w:val="51"/>
    <w:lvlOverride w:ilvl="0">
      <w:startOverride w:val="1"/>
    </w:lvlOverride>
  </w:num>
  <w:num w:numId="76">
    <w:abstractNumId w:val="27"/>
    <w:lvlOverride w:ilvl="0">
      <w:startOverride w:val="1"/>
    </w:lvlOverride>
  </w:num>
  <w:num w:numId="77">
    <w:abstractNumId w:val="29"/>
    <w:lvlOverride w:ilvl="0">
      <w:startOverride w:val="1"/>
    </w:lvlOverride>
  </w:num>
  <w:num w:numId="78">
    <w:abstractNumId w:val="12"/>
    <w:lvlOverride w:ilvl="0">
      <w:startOverride w:val="1"/>
    </w:lvlOverride>
  </w:num>
  <w:num w:numId="79">
    <w:abstractNumId w:val="1"/>
    <w:lvlOverride w:ilvl="0">
      <w:startOverride w:val="1"/>
    </w:lvlOverride>
  </w:num>
  <w:num w:numId="80">
    <w:abstractNumId w:val="34"/>
  </w:num>
  <w:num w:numId="81">
    <w:abstractNumId w:val="40"/>
  </w:num>
  <w:num w:numId="82">
    <w:abstractNumId w:val="39"/>
  </w:num>
  <w:num w:numId="83">
    <w:abstractNumId w:val="0"/>
  </w:num>
  <w:num w:numId="84">
    <w:abstractNumId w:val="4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528F6"/>
    <w:rsid w:val="000863CA"/>
    <w:rsid w:val="000E569E"/>
    <w:rsid w:val="000F52EC"/>
    <w:rsid w:val="00150A0F"/>
    <w:rsid w:val="001D3627"/>
    <w:rsid w:val="001E6C0F"/>
    <w:rsid w:val="002266E0"/>
    <w:rsid w:val="002412A5"/>
    <w:rsid w:val="002E2AF3"/>
    <w:rsid w:val="002E6E80"/>
    <w:rsid w:val="003063AA"/>
    <w:rsid w:val="0032000A"/>
    <w:rsid w:val="003C7897"/>
    <w:rsid w:val="003E0FE6"/>
    <w:rsid w:val="003F29DA"/>
    <w:rsid w:val="00430EF2"/>
    <w:rsid w:val="00463343"/>
    <w:rsid w:val="00473AE8"/>
    <w:rsid w:val="00484FCE"/>
    <w:rsid w:val="004E6C01"/>
    <w:rsid w:val="0056553A"/>
    <w:rsid w:val="005836FF"/>
    <w:rsid w:val="00584375"/>
    <w:rsid w:val="005C021E"/>
    <w:rsid w:val="006841E1"/>
    <w:rsid w:val="006F092C"/>
    <w:rsid w:val="00706A08"/>
    <w:rsid w:val="007463EC"/>
    <w:rsid w:val="00755213"/>
    <w:rsid w:val="00782BB6"/>
    <w:rsid w:val="007C6070"/>
    <w:rsid w:val="007D37DB"/>
    <w:rsid w:val="007E6C24"/>
    <w:rsid w:val="008442E0"/>
    <w:rsid w:val="008446B1"/>
    <w:rsid w:val="00865EE5"/>
    <w:rsid w:val="008F549A"/>
    <w:rsid w:val="0091124A"/>
    <w:rsid w:val="00915A4E"/>
    <w:rsid w:val="00927A13"/>
    <w:rsid w:val="009345CA"/>
    <w:rsid w:val="00955DEB"/>
    <w:rsid w:val="009B1C0C"/>
    <w:rsid w:val="00A60499"/>
    <w:rsid w:val="00AD2B5B"/>
    <w:rsid w:val="00B6603B"/>
    <w:rsid w:val="00BE1CED"/>
    <w:rsid w:val="00D87CF5"/>
    <w:rsid w:val="00DD73A7"/>
    <w:rsid w:val="00DE14CC"/>
    <w:rsid w:val="00E1187A"/>
    <w:rsid w:val="00E678C9"/>
    <w:rsid w:val="00E90D72"/>
    <w:rsid w:val="00FC00B8"/>
    <w:rsid w:val="00FD4FD7"/>
    <w:rsid w:val="00FD5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83"/>
      </w:numPr>
    </w:pPr>
  </w:style>
  <w:style w:type="numbering" w:customStyle="1" w:styleId="WWNum32">
    <w:name w:val="WWNum32"/>
    <w:basedOn w:val="Bezlisty"/>
    <w:pPr>
      <w:numPr>
        <w:numId w:val="84"/>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20</Pages>
  <Words>7573</Words>
  <Characters>45438</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11</cp:revision>
  <cp:lastPrinted>2021-08-11T10:36:00Z</cp:lastPrinted>
  <dcterms:created xsi:type="dcterms:W3CDTF">2024-07-02T07:19:00Z</dcterms:created>
  <dcterms:modified xsi:type="dcterms:W3CDTF">2024-07-23T07:31:00Z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