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186F379D" w14:textId="265845C9" w:rsidR="005672D4" w:rsidRPr="00DB4EC5" w:rsidRDefault="005672D4" w:rsidP="005672D4">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7DB53BCD" w14:textId="77777777" w:rsidR="005672D4" w:rsidRPr="00DB4EC5" w:rsidRDefault="005672D4" w:rsidP="005672D4">
      <w:pPr>
        <w:spacing w:line="360" w:lineRule="auto"/>
        <w:rPr>
          <w:rFonts w:ascii="Century Gothic" w:hAnsi="Century Gothic"/>
          <w:b/>
          <w:sz w:val="18"/>
          <w:szCs w:val="18"/>
          <w:lang w:val="x-none" w:eastAsia="x-none"/>
        </w:rPr>
      </w:pP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363EC37F"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B841E3">
        <w:rPr>
          <w:rFonts w:ascii="Century Gothic" w:hAnsi="Century Gothic"/>
          <w:sz w:val="18"/>
          <w:szCs w:val="18"/>
          <w:lang w:eastAsia="x-none"/>
        </w:rPr>
        <w:t>01</w:t>
      </w:r>
      <w:r w:rsidRPr="00DB4EC5">
        <w:rPr>
          <w:rFonts w:ascii="Century Gothic" w:hAnsi="Century Gothic"/>
          <w:sz w:val="18"/>
          <w:szCs w:val="18"/>
          <w:lang w:val="x-none" w:eastAsia="x-none"/>
        </w:rPr>
        <w:t>.202</w:t>
      </w:r>
      <w:r w:rsidR="00B841E3">
        <w:rPr>
          <w:rFonts w:ascii="Century Gothic" w:hAnsi="Century Gothic"/>
          <w:sz w:val="18"/>
          <w:szCs w:val="18"/>
          <w:lang w:eastAsia="x-none"/>
        </w:rPr>
        <w:t>5</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3A6454FA" w14:textId="1ABE8AEF" w:rsidR="00DB4EC5" w:rsidRPr="00DB4EC5" w:rsidRDefault="00241E54" w:rsidP="00DB4EC5">
      <w:pPr>
        <w:widowControl w:val="0"/>
        <w:numPr>
          <w:ilvl w:val="0"/>
          <w:numId w:val="1"/>
        </w:numPr>
        <w:tabs>
          <w:tab w:val="left" w:pos="426"/>
        </w:tabs>
        <w:autoSpaceDE w:val="0"/>
        <w:autoSpaceDN w:val="0"/>
        <w:spacing w:line="360" w:lineRule="auto"/>
        <w:ind w:left="426" w:hanging="284"/>
        <w:jc w:val="both"/>
        <w:rPr>
          <w:rFonts w:ascii="Century Gothic" w:hAnsi="Century Gothic"/>
          <w:b/>
          <w:bCs/>
          <w:iCs/>
          <w:sz w:val="18"/>
          <w:szCs w:val="18"/>
        </w:rPr>
      </w:pPr>
      <w:r w:rsidRPr="00DB4EC5">
        <w:rPr>
          <w:rFonts w:ascii="Century Gothic" w:hAnsi="Century Gothic"/>
          <w:sz w:val="18"/>
          <w:szCs w:val="18"/>
        </w:rPr>
        <w:t>Zamawiający powierza, a Wykonawca zobowiązuje się wykonać</w:t>
      </w:r>
      <w:r w:rsidR="006D6FD6" w:rsidRPr="00DB4EC5">
        <w:rPr>
          <w:rFonts w:ascii="Century Gothic" w:hAnsi="Century Gothic"/>
          <w:sz w:val="18"/>
          <w:szCs w:val="18"/>
        </w:rPr>
        <w:t xml:space="preserve"> zadanie</w:t>
      </w:r>
      <w:r w:rsidRPr="00DB4EC5">
        <w:rPr>
          <w:rFonts w:ascii="Century Gothic" w:hAnsi="Century Gothic"/>
          <w:sz w:val="18"/>
          <w:szCs w:val="18"/>
        </w:rPr>
        <w:t xml:space="preserve"> pn.</w:t>
      </w:r>
      <w:bookmarkStart w:id="1" w:name="_Hlk91058641"/>
      <w:r w:rsidRPr="00DB4EC5">
        <w:rPr>
          <w:rFonts w:ascii="Century Gothic" w:hAnsi="Century Gothic"/>
          <w:sz w:val="18"/>
          <w:szCs w:val="18"/>
        </w:rPr>
        <w:t xml:space="preserve"> </w:t>
      </w:r>
      <w:r w:rsidR="00DB4EC5" w:rsidRPr="00DB4EC5">
        <w:rPr>
          <w:rFonts w:ascii="Century Gothic" w:hAnsi="Century Gothic"/>
          <w:b/>
          <w:bCs/>
          <w:sz w:val="18"/>
          <w:szCs w:val="18"/>
        </w:rPr>
        <w:t>„Poprawa infrastruktury rowerowej na terenie powiatu żnińskiego – budowa drogi dla rowerów w ciągu drogi powiatowej nr 2335C Gąsawa – Bożejewice na odcinku Gąsawa – Biskupin – etap I”</w:t>
      </w:r>
    </w:p>
    <w:bookmarkEnd w:id="1"/>
    <w:p w14:paraId="6F774157" w14:textId="2631C4B3" w:rsidR="001D0C65" w:rsidRPr="001D0C65" w:rsidRDefault="001D0C65" w:rsidP="001D0C65">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1D0C65">
        <w:rPr>
          <w:rFonts w:ascii="Century Gothic" w:hAnsi="Century Gothic"/>
          <w:sz w:val="18"/>
          <w:szCs w:val="18"/>
        </w:rPr>
        <w:t>Zakres szczegółowy robót</w:t>
      </w:r>
      <w:r>
        <w:rPr>
          <w:rFonts w:ascii="Century Gothic" w:hAnsi="Century Gothic"/>
          <w:sz w:val="18"/>
          <w:szCs w:val="18"/>
        </w:rPr>
        <w:t xml:space="preserve"> </w:t>
      </w:r>
      <w:bookmarkStart w:id="2" w:name="_Hlk184128257"/>
      <w:r>
        <w:rPr>
          <w:rFonts w:ascii="Century Gothic" w:hAnsi="Century Gothic"/>
          <w:sz w:val="18"/>
          <w:szCs w:val="18"/>
        </w:rPr>
        <w:t xml:space="preserve">(od km 5+150 do km 6+598,75) </w:t>
      </w:r>
      <w:bookmarkEnd w:id="2"/>
      <w:r w:rsidRPr="001D0C65">
        <w:rPr>
          <w:rFonts w:ascii="Century Gothic" w:hAnsi="Century Gothic"/>
          <w:sz w:val="18"/>
          <w:szCs w:val="18"/>
        </w:rPr>
        <w:t>którego realizacja wynika z niniejszej umowy określają następujące dokumenty stanowiące jej integralną część</w:t>
      </w:r>
      <w:r w:rsidR="000064BD">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52A800D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0B34E0BF"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CC2B9B" w:rsidRPr="00DB4EC5">
        <w:rPr>
          <w:rFonts w:ascii="Century Gothic" w:hAnsi="Century Gothic"/>
          <w:sz w:val="18"/>
          <w:szCs w:val="18"/>
        </w:rPr>
        <w:t>em</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7F80A2EB"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na odcinku </w:t>
      </w:r>
      <w:r w:rsidR="00287CE4" w:rsidRPr="00DB4EC5">
        <w:rPr>
          <w:rFonts w:ascii="Century Gothic" w:hAnsi="Century Gothic"/>
          <w:sz w:val="18"/>
          <w:szCs w:val="18"/>
        </w:rPr>
        <w:t xml:space="preserve"> </w:t>
      </w:r>
      <w:r w:rsidR="001D0C65" w:rsidRPr="001D0C65">
        <w:rPr>
          <w:rFonts w:ascii="Century Gothic" w:hAnsi="Century Gothic"/>
          <w:sz w:val="18"/>
          <w:szCs w:val="18"/>
        </w:rPr>
        <w:t xml:space="preserve">od km 5+150 do km 6+598,75 </w:t>
      </w:r>
      <w:r w:rsidRPr="00DB4EC5">
        <w:rPr>
          <w:rFonts w:ascii="Century Gothic" w:hAnsi="Century Gothic"/>
          <w:sz w:val="18"/>
          <w:szCs w:val="18"/>
        </w:rPr>
        <w:t xml:space="preserve">zgodnie 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lastRenderedPageBreak/>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Materiały i urządzenia użyte do wykonania przedmiotu umowy powinny odpowiadać co do jakości 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1D0D43C2" w14:textId="55A3E9C8" w:rsidR="0099435B" w:rsidRPr="00DB4EC5" w:rsidRDefault="0099435B"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57E5E047" w14:textId="67A16CB0" w:rsidR="00815DFB" w:rsidRPr="00DB4EC5" w:rsidRDefault="002E0C89" w:rsidP="00670E00">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lastRenderedPageBreak/>
        <w:t>Wykonawca zobowiązany jest do wykonania i przedłożenia Zamawiającemu, w</w:t>
      </w:r>
      <w:r w:rsidR="00CB137E">
        <w:rPr>
          <w:rFonts w:ascii="Century Gothic" w:hAnsi="Century Gothic"/>
          <w:sz w:val="18"/>
          <w:szCs w:val="18"/>
        </w:rPr>
        <w:t xml:space="preserve"> terminie 7 dni                        od dnia </w:t>
      </w:r>
      <w:r w:rsidRPr="00DB4EC5">
        <w:rPr>
          <w:rFonts w:ascii="Century Gothic" w:hAnsi="Century Gothic"/>
          <w:sz w:val="18"/>
          <w:szCs w:val="18"/>
        </w:rPr>
        <w:t xml:space="preserve"> przekazania placu budowy harmonogramu rzeczowo-terminowego.</w:t>
      </w:r>
    </w:p>
    <w:p w14:paraId="3C793E8E" w14:textId="27EC06A6" w:rsidR="008D68EA" w:rsidRPr="00DB4EC5" w:rsidRDefault="008D68EA" w:rsidP="008D68EA">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Na każde żądanie Zamawiającego Wykonawca zobowiązany jest</w:t>
      </w:r>
      <w:r w:rsidR="00C85909" w:rsidRPr="00DB4EC5">
        <w:rPr>
          <w:rFonts w:ascii="Century Gothic" w:hAnsi="Century Gothic"/>
          <w:sz w:val="18"/>
          <w:szCs w:val="18"/>
        </w:rPr>
        <w:t xml:space="preserve"> przedłożyć</w:t>
      </w:r>
      <w:r w:rsidRPr="00DB4EC5">
        <w:rPr>
          <w:rFonts w:ascii="Century Gothic" w:hAnsi="Century Gothic"/>
          <w:sz w:val="18"/>
          <w:szCs w:val="18"/>
        </w:rPr>
        <w:t xml:space="preserve"> zaktualizowany harmonogram rzeczowo – finansowy, w terminie 7 dni roboczych od daty polecenia dokonania aktualizacji przez Zamawiającego</w:t>
      </w:r>
      <w:r w:rsidR="00C85909" w:rsidRPr="00DB4EC5">
        <w:rPr>
          <w:rFonts w:ascii="Century Gothic" w:hAnsi="Century Gothic"/>
          <w:sz w:val="18"/>
          <w:szCs w:val="18"/>
        </w:rPr>
        <w:t>.</w:t>
      </w:r>
    </w:p>
    <w:p w14:paraId="29E531A4" w14:textId="77777777" w:rsidR="00294731" w:rsidRPr="00DB4EC5" w:rsidRDefault="00294731" w:rsidP="00294731">
      <w:pPr>
        <w:spacing w:line="360" w:lineRule="auto"/>
        <w:ind w:left="420"/>
        <w:jc w:val="both"/>
        <w:rPr>
          <w:rFonts w:ascii="Century Gothic" w:hAnsi="Century Gothic"/>
          <w:sz w:val="18"/>
          <w:szCs w:val="18"/>
        </w:rPr>
      </w:pP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DB4EC5"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6D0CDBBB" w14:textId="77777777" w:rsidR="00CC2B9B" w:rsidRPr="00DB4EC5" w:rsidRDefault="00CC2B9B" w:rsidP="00CC2B9B">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21569776"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 xml:space="preserve">plus  podatek VAT …………….%:  ……………………………. zł </w:t>
      </w:r>
    </w:p>
    <w:p w14:paraId="11FD4D88"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3D940EB5"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w:t>
      </w:r>
      <w:r w:rsidRPr="00DB4EC5">
        <w:rPr>
          <w:rFonts w:ascii="Century Gothic" w:hAnsi="Century Gothic"/>
          <w:sz w:val="18"/>
          <w:szCs w:val="18"/>
        </w:rPr>
        <w:lastRenderedPageBreak/>
        <w:t xml:space="preserve">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64257177" w14:textId="77777777" w:rsidR="00CF1A04" w:rsidRPr="00DB4EC5" w:rsidRDefault="00CF1A04"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Pr="00DB4EC5"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3"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3"/>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494507EE"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531EB2" w:rsidRPr="00DB4EC5">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 xml:space="preserve">Budowy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lastRenderedPageBreak/>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41E82266" w14:textId="05A016B4" w:rsidR="00A4095D" w:rsidRPr="00D51947" w:rsidRDefault="00A4095D" w:rsidP="00A4095D">
      <w:pPr>
        <w:numPr>
          <w:ilvl w:val="0"/>
          <w:numId w:val="14"/>
        </w:numPr>
        <w:spacing w:line="360" w:lineRule="auto"/>
        <w:ind w:left="426" w:hanging="284"/>
        <w:jc w:val="both"/>
        <w:rPr>
          <w:rFonts w:ascii="Century Gothic" w:hAnsi="Century Gothic"/>
          <w:strike/>
          <w:color w:val="FF0000"/>
          <w:sz w:val="18"/>
          <w:szCs w:val="18"/>
        </w:rPr>
      </w:pPr>
      <w:r w:rsidRPr="00D51947">
        <w:rPr>
          <w:rFonts w:ascii="Century Gothic" w:hAnsi="Century Gothic"/>
          <w:strike/>
          <w:color w:val="FF0000"/>
          <w:sz w:val="18"/>
          <w:szCs w:val="18"/>
        </w:rPr>
        <w:t xml:space="preserve">Wykonawca we flocie pojazdów samochodowych (w rozumieniu art. 2 pkt 33 ustawy z dnia </w:t>
      </w:r>
      <w:r w:rsidR="000064BD" w:rsidRPr="00D51947">
        <w:rPr>
          <w:rFonts w:ascii="Century Gothic" w:hAnsi="Century Gothic"/>
          <w:strike/>
          <w:color w:val="FF0000"/>
          <w:sz w:val="18"/>
          <w:szCs w:val="18"/>
        </w:rPr>
        <w:t xml:space="preserve">                                   </w:t>
      </w:r>
      <w:r w:rsidRPr="00D51947">
        <w:rPr>
          <w:rFonts w:ascii="Century Gothic" w:hAnsi="Century Gothic"/>
          <w:strike/>
          <w:color w:val="FF0000"/>
          <w:sz w:val="18"/>
          <w:szCs w:val="18"/>
        </w:rPr>
        <w:t xml:space="preserve">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D51947">
        <w:rPr>
          <w:rFonts w:ascii="Century Gothic" w:hAnsi="Century Gothic"/>
          <w:strike/>
          <w:color w:val="FF0000"/>
          <w:sz w:val="18"/>
          <w:szCs w:val="18"/>
        </w:rPr>
        <w:t>elektromobilności</w:t>
      </w:r>
      <w:proofErr w:type="spellEnd"/>
      <w:r w:rsidRPr="00D51947">
        <w:rPr>
          <w:rFonts w:ascii="Century Gothic" w:hAnsi="Century Gothic"/>
          <w:strike/>
          <w:color w:val="FF0000"/>
          <w:sz w:val="18"/>
          <w:szCs w:val="18"/>
        </w:rPr>
        <w:t xml:space="preserve"> i paliwach alternatywnych</w:t>
      </w:r>
      <w:r w:rsidR="000064BD" w:rsidRPr="00D51947">
        <w:rPr>
          <w:rFonts w:ascii="Century Gothic" w:hAnsi="Century Gothic"/>
          <w:strike/>
          <w:color w:val="FF0000"/>
          <w:sz w:val="18"/>
          <w:szCs w:val="18"/>
        </w:rPr>
        <w:t xml:space="preserve"> (Dz. U. z 2024 r., poz. 1289)</w:t>
      </w:r>
      <w:r w:rsidRPr="00D51947">
        <w:rPr>
          <w:rFonts w:ascii="Century Gothic" w:hAnsi="Century Gothic"/>
          <w:strike/>
          <w:color w:val="FF0000"/>
          <w:sz w:val="18"/>
          <w:szCs w:val="18"/>
        </w:rPr>
        <w:t>, o ile wykonanie zamówienia będzie wymagało użycia pojazdów samochodowych.</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lastRenderedPageBreak/>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Pr="00DB4EC5"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46043507" w:rsidR="003A6FA8" w:rsidRPr="00CB137E" w:rsidRDefault="00027C54">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b/>
          <w:bCs/>
          <w:sz w:val="18"/>
          <w:szCs w:val="18"/>
        </w:rPr>
        <w:t xml:space="preserve"> </w:t>
      </w:r>
      <w:r w:rsidR="003A6FA8" w:rsidRPr="00DB4EC5">
        <w:rPr>
          <w:rFonts w:ascii="Century Gothic" w:hAnsi="Century Gothic"/>
          <w:sz w:val="18"/>
          <w:szCs w:val="18"/>
        </w:rPr>
        <w:t>Osob</w:t>
      </w:r>
      <w:r w:rsidR="00185B91" w:rsidRPr="00DB4EC5">
        <w:rPr>
          <w:rFonts w:ascii="Century Gothic" w:hAnsi="Century Gothic"/>
          <w:sz w:val="18"/>
          <w:szCs w:val="18"/>
        </w:rPr>
        <w:t>a</w:t>
      </w:r>
      <w:r w:rsidR="003A6FA8" w:rsidRPr="00DB4EC5">
        <w:rPr>
          <w:rFonts w:ascii="Century Gothic" w:hAnsi="Century Gothic"/>
          <w:sz w:val="18"/>
          <w:szCs w:val="18"/>
        </w:rPr>
        <w:t xml:space="preserve"> wskazan</w:t>
      </w:r>
      <w:r w:rsidR="00185B91" w:rsidRPr="00DB4EC5">
        <w:rPr>
          <w:rFonts w:ascii="Century Gothic" w:hAnsi="Century Gothic"/>
          <w:sz w:val="18"/>
          <w:szCs w:val="18"/>
        </w:rPr>
        <w:t>a</w:t>
      </w:r>
      <w:r w:rsidR="003A6FA8" w:rsidRPr="00DB4EC5">
        <w:rPr>
          <w:rFonts w:ascii="Century Gothic" w:hAnsi="Century Gothic"/>
          <w:sz w:val="18"/>
          <w:szCs w:val="18"/>
        </w:rPr>
        <w:t xml:space="preserve"> w ust. </w:t>
      </w:r>
      <w:r w:rsidR="00A4095D" w:rsidRPr="00DB4EC5">
        <w:rPr>
          <w:rFonts w:ascii="Century Gothic" w:hAnsi="Century Gothic"/>
          <w:sz w:val="18"/>
          <w:szCs w:val="18"/>
        </w:rPr>
        <w:t xml:space="preserve">1 </w:t>
      </w:r>
      <w:r w:rsidR="003A6FA8"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003A6FA8"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003A6FA8" w:rsidRPr="00DB4EC5">
        <w:rPr>
          <w:rFonts w:ascii="Century Gothic" w:hAnsi="Century Gothic"/>
          <w:sz w:val="18"/>
          <w:szCs w:val="18"/>
        </w:rPr>
        <w:t>budowlane.</w:t>
      </w:r>
    </w:p>
    <w:p w14:paraId="05C898FB" w14:textId="15665C03"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Pr="00CB137E">
        <w:rPr>
          <w:rFonts w:ascii="Century Gothic" w:hAnsi="Century Gothic"/>
          <w:sz w:val="18"/>
          <w:szCs w:val="18"/>
        </w:rPr>
        <w:t xml:space="preserve"> musi być uzasadniona przez Wykonawcę na piśmie </w:t>
      </w:r>
      <w:r w:rsidR="00F60FCA" w:rsidRPr="00CB137E">
        <w:rPr>
          <w:rFonts w:ascii="Century Gothic" w:hAnsi="Century Gothic"/>
          <w:sz w:val="18"/>
          <w:szCs w:val="18"/>
        </w:rPr>
        <w:t xml:space="preserve"> </w:t>
      </w:r>
      <w:r w:rsidRPr="00CB137E">
        <w:rPr>
          <w:rFonts w:ascii="Century Gothic" w:hAnsi="Century Gothic"/>
          <w:sz w:val="18"/>
          <w:szCs w:val="18"/>
        </w:rPr>
        <w:t xml:space="preserve">i wymaga pisemnego zaakceptowania przez Zamawiającego. Zamawiający zaakceptuje taką zmianę </w:t>
      </w:r>
      <w:r w:rsidR="00CB137E">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0E55A6EE"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C85909" w:rsidRPr="00CB137E">
        <w:rPr>
          <w:rFonts w:ascii="Century Gothic" w:hAnsi="Century Gothic"/>
          <w:sz w:val="18"/>
          <w:szCs w:val="18"/>
        </w:rPr>
        <w:t>3</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7179CC35" w14:textId="77777777" w:rsidR="00FA5320" w:rsidRDefault="00FA5320" w:rsidP="00B050CA">
      <w:pPr>
        <w:pStyle w:val="awciety"/>
        <w:spacing w:line="360" w:lineRule="auto"/>
        <w:ind w:left="0" w:firstLine="0"/>
        <w:rPr>
          <w:rFonts w:ascii="Century Gothic" w:hAnsi="Century Gothic" w:cs="Verdana"/>
          <w:color w:val="auto"/>
          <w:sz w:val="18"/>
          <w:szCs w:val="18"/>
        </w:rPr>
      </w:pP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lastRenderedPageBreak/>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4"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lastRenderedPageBreak/>
        <w:t xml:space="preserve">do przedłożenia stosownych dokumentów, o których mowa ust. 2  dotyczących nowego 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4"/>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w:t>
      </w:r>
      <w:r w:rsidRPr="00DB4EC5">
        <w:rPr>
          <w:rFonts w:ascii="Century Gothic" w:hAnsi="Century Gothic" w:cs="Calibri"/>
          <w:sz w:val="18"/>
          <w:szCs w:val="18"/>
        </w:rPr>
        <w:lastRenderedPageBreak/>
        <w:t xml:space="preserve">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lastRenderedPageBreak/>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lastRenderedPageBreak/>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76F2509A" w14:textId="490B178F"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4993AD47" w14:textId="416B5EF3"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(za nieprawidłowość Zamawiający rozumieć będzie także  brak odblaskowości 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Termin zapłaty kary umownej wynosi 14 dni od dnia doręczenia wezwania, na rachunek bankowy wskazany w treści wezwania.</w:t>
      </w:r>
    </w:p>
    <w:p w14:paraId="6A696150" w14:textId="70AF9A3B"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oświadczają, że należności z tytułu kar umownych Zamawiający ma prawo potrącić z wynagrodzenia Wykonawcy przysługującą mu z niniejszego stosunku prawnego zawartego 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lastRenderedPageBreak/>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7BAEDD68" w14:textId="10D87BE9" w:rsidR="00D250EB"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0A0445C9" w14:textId="77777777" w:rsidR="00556E1F" w:rsidRDefault="00556E1F" w:rsidP="00556E1F">
      <w:pPr>
        <w:spacing w:line="360" w:lineRule="auto"/>
        <w:jc w:val="both"/>
        <w:rPr>
          <w:rFonts w:ascii="Century Gothic" w:hAnsi="Century Gothic"/>
          <w:sz w:val="18"/>
          <w:szCs w:val="18"/>
        </w:rPr>
      </w:pPr>
    </w:p>
    <w:p w14:paraId="520EA8DD" w14:textId="77777777" w:rsidR="00556E1F" w:rsidRDefault="00556E1F" w:rsidP="00556E1F">
      <w:pPr>
        <w:spacing w:line="360" w:lineRule="auto"/>
        <w:jc w:val="both"/>
        <w:rPr>
          <w:rFonts w:ascii="Century Gothic" w:hAnsi="Century Gothic"/>
          <w:sz w:val="18"/>
          <w:szCs w:val="18"/>
        </w:rPr>
      </w:pPr>
    </w:p>
    <w:p w14:paraId="64F09F5D" w14:textId="77777777" w:rsidR="00556E1F" w:rsidRPr="00DB4EC5" w:rsidRDefault="00556E1F" w:rsidP="00556E1F">
      <w:pPr>
        <w:spacing w:line="360" w:lineRule="auto"/>
        <w:jc w:val="both"/>
        <w:rPr>
          <w:rFonts w:ascii="Century Gothic" w:hAnsi="Century Gothic"/>
          <w:sz w:val="18"/>
          <w:szCs w:val="18"/>
        </w:rPr>
      </w:pPr>
    </w:p>
    <w:p w14:paraId="5C164840" w14:textId="77777777" w:rsidR="00D250EB" w:rsidRPr="00DB4EC5" w:rsidRDefault="00D250EB" w:rsidP="00D250EB">
      <w:pPr>
        <w:spacing w:line="360" w:lineRule="auto"/>
        <w:ind w:left="720"/>
        <w:jc w:val="both"/>
        <w:rPr>
          <w:rFonts w:ascii="Century Gothic" w:hAnsi="Century Gothic"/>
          <w:sz w:val="18"/>
          <w:szCs w:val="18"/>
        </w:rPr>
      </w:pP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5"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5"/>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opóźnienia organów administracji publicznej w wydaniu decyzji administracyjnych, uzgodnień, opinii lub innych aktów administracyjnych, których wydanie jest niezbędne dla dalszego </w:t>
      </w:r>
      <w:r w:rsidRPr="00DB4EC5">
        <w:rPr>
          <w:rFonts w:ascii="Century Gothic" w:hAnsi="Century Gothic" w:cs="Calibri"/>
          <w:sz w:val="18"/>
          <w:szCs w:val="18"/>
        </w:rPr>
        <w:lastRenderedPageBreak/>
        <w:t>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t>Zmiany do umowy prowadzone postanowieniami niniejszego paragrafu wymagają aneksu.</w:t>
      </w:r>
    </w:p>
    <w:p w14:paraId="064A10E7" w14:textId="77777777" w:rsidR="003278CE" w:rsidRPr="00DB4EC5" w:rsidRDefault="003278CE"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6"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lastRenderedPageBreak/>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7" w:name="_Hlk66182816"/>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7"/>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6"/>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w:t>
      </w:r>
      <w:r w:rsidRPr="00DB4EC5">
        <w:rPr>
          <w:rFonts w:ascii="Century Gothic" w:hAnsi="Century Gothic" w:cs="Calibri"/>
          <w:sz w:val="18"/>
          <w:szCs w:val="18"/>
        </w:rPr>
        <w:lastRenderedPageBreak/>
        <w:t>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A64803">
        <w:trPr>
          <w:trHeight w:val="1974"/>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364EB2BC" w14:textId="0575219C"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sz w:val="18"/>
                <w:szCs w:val="18"/>
              </w:rPr>
              <w:t>DYREKTOR</w:t>
            </w:r>
          </w:p>
          <w:p w14:paraId="1A4AA950" w14:textId="77777777" w:rsidR="00FA6056" w:rsidRPr="00DB4EC5" w:rsidRDefault="00FA6056" w:rsidP="00AA5132">
            <w:pPr>
              <w:spacing w:line="360" w:lineRule="auto"/>
              <w:jc w:val="center"/>
              <w:rPr>
                <w:rFonts w:ascii="Century Gothic" w:hAnsi="Century Gothic"/>
                <w:sz w:val="18"/>
                <w:szCs w:val="18"/>
              </w:rPr>
            </w:pP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79EA664A" w14:textId="77777777" w:rsidR="00FA6056" w:rsidRPr="00DB4EC5" w:rsidRDefault="00FA6056" w:rsidP="00FA6056">
            <w:pPr>
              <w:spacing w:line="360" w:lineRule="auto"/>
              <w:jc w:val="center"/>
              <w:rPr>
                <w:rFonts w:ascii="Century Gothic" w:hAnsi="Century Gothic"/>
                <w:sz w:val="18"/>
                <w:szCs w:val="18"/>
              </w:rPr>
            </w:pPr>
          </w:p>
          <w:p w14:paraId="306323D0" w14:textId="77777777" w:rsidR="00FA6056" w:rsidRPr="00DB4EC5" w:rsidRDefault="00FA6056" w:rsidP="00FA6056">
            <w:pPr>
              <w:spacing w:line="360" w:lineRule="auto"/>
              <w:jc w:val="center"/>
              <w:rPr>
                <w:rFonts w:ascii="Century Gothic" w:hAnsi="Century Gothic"/>
                <w:sz w:val="18"/>
                <w:szCs w:val="18"/>
              </w:rPr>
            </w:pPr>
          </w:p>
          <w:p w14:paraId="6661B103" w14:textId="77777777" w:rsidR="00FA6056" w:rsidRPr="00DB4EC5" w:rsidRDefault="00FA6056" w:rsidP="00FA6056">
            <w:pPr>
              <w:spacing w:line="360" w:lineRule="auto"/>
              <w:jc w:val="center"/>
              <w:rPr>
                <w:rFonts w:ascii="Century Gothic" w:hAnsi="Century Gothic"/>
                <w:sz w:val="18"/>
                <w:szCs w:val="18"/>
              </w:rPr>
            </w:pPr>
          </w:p>
          <w:p w14:paraId="4CD0A0BF" w14:textId="19810725"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AF1172">
        <w:trPr>
          <w:trHeight w:val="1989"/>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4D92304E" w14:textId="77777777" w:rsidR="00FA6056" w:rsidRPr="00DB4EC5" w:rsidRDefault="00FA6056" w:rsidP="00FA6056">
            <w:pPr>
              <w:spacing w:line="360" w:lineRule="auto"/>
              <w:jc w:val="center"/>
              <w:rPr>
                <w:rFonts w:ascii="Century Gothic" w:hAnsi="Century Gothic"/>
                <w:sz w:val="18"/>
                <w:szCs w:val="18"/>
              </w:rPr>
            </w:pPr>
          </w:p>
          <w:p w14:paraId="7C53EF02" w14:textId="77777777" w:rsidR="00FA6056" w:rsidRPr="00DB4EC5" w:rsidRDefault="00FA6056" w:rsidP="00FA6056">
            <w:pPr>
              <w:spacing w:line="360" w:lineRule="auto"/>
              <w:jc w:val="center"/>
              <w:rPr>
                <w:rFonts w:ascii="Century Gothic" w:hAnsi="Century Gothic"/>
                <w:sz w:val="18"/>
                <w:szCs w:val="18"/>
              </w:rPr>
            </w:pPr>
          </w:p>
          <w:p w14:paraId="3B05154A" w14:textId="77777777" w:rsidR="00FA6056" w:rsidRPr="00DB4EC5" w:rsidRDefault="00FA6056" w:rsidP="00FA6056">
            <w:pPr>
              <w:spacing w:line="360" w:lineRule="auto"/>
              <w:jc w:val="center"/>
              <w:rPr>
                <w:rFonts w:ascii="Century Gothic" w:hAnsi="Century Gothic"/>
                <w:sz w:val="18"/>
                <w:szCs w:val="18"/>
              </w:rPr>
            </w:pPr>
          </w:p>
          <w:p w14:paraId="4D0E9192" w14:textId="77777777" w:rsidR="00FA6056" w:rsidRPr="00DB4EC5" w:rsidRDefault="00FA6056" w:rsidP="00FA6056">
            <w:pPr>
              <w:spacing w:line="360" w:lineRule="auto"/>
              <w:jc w:val="center"/>
              <w:rPr>
                <w:rFonts w:ascii="Century Gothic" w:hAnsi="Century Gothic"/>
                <w:sz w:val="18"/>
                <w:szCs w:val="18"/>
              </w:rPr>
            </w:pPr>
          </w:p>
          <w:p w14:paraId="5E4DC5AD" w14:textId="77777777" w:rsidR="00ED544B" w:rsidRPr="00DB4EC5" w:rsidRDefault="00ED544B" w:rsidP="00FA6056">
            <w:pPr>
              <w:spacing w:line="360" w:lineRule="auto"/>
              <w:rPr>
                <w:rFonts w:ascii="Century Gothic" w:hAnsi="Century Gothic"/>
                <w:sz w:val="18"/>
                <w:szCs w:val="18"/>
              </w:rPr>
            </w:pPr>
          </w:p>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427BE904" w14:textId="77777777" w:rsidR="00FA6056" w:rsidRPr="00DB4EC5" w:rsidRDefault="00FA6056" w:rsidP="00B8562D">
            <w:pPr>
              <w:spacing w:line="360" w:lineRule="auto"/>
              <w:rPr>
                <w:rFonts w:ascii="Century Gothic" w:hAnsi="Century Gothic"/>
                <w:b/>
                <w:bCs/>
                <w:sz w:val="18"/>
                <w:szCs w:val="18"/>
              </w:rPr>
            </w:pPr>
          </w:p>
          <w:p w14:paraId="2354A3C3" w14:textId="77777777" w:rsidR="00B8562D" w:rsidRPr="00DB4EC5" w:rsidRDefault="00B8562D" w:rsidP="00B8562D">
            <w:pPr>
              <w:spacing w:line="360" w:lineRule="auto"/>
              <w:rPr>
                <w:rFonts w:ascii="Century Gothic" w:hAnsi="Century Gothic"/>
                <w:b/>
                <w:bCs/>
                <w:sz w:val="18"/>
                <w:szCs w:val="18"/>
              </w:rPr>
            </w:pPr>
          </w:p>
          <w:p w14:paraId="26A70E7A" w14:textId="77777777" w:rsidR="00FA6056" w:rsidRPr="00DB4EC5" w:rsidRDefault="00FA6056" w:rsidP="00FA6056">
            <w:pPr>
              <w:spacing w:line="360" w:lineRule="auto"/>
              <w:jc w:val="center"/>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628B" w14:textId="77777777" w:rsidR="004D677D" w:rsidRDefault="004D677D" w:rsidP="000E5F06">
      <w:r>
        <w:separator/>
      </w:r>
    </w:p>
  </w:endnote>
  <w:endnote w:type="continuationSeparator" w:id="0">
    <w:p w14:paraId="43F22370" w14:textId="77777777" w:rsidR="004D677D" w:rsidRDefault="004D677D"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39DEB" w14:textId="77777777" w:rsidR="004D677D" w:rsidRDefault="004D677D" w:rsidP="000E5F06">
      <w:r>
        <w:separator/>
      </w:r>
    </w:p>
  </w:footnote>
  <w:footnote w:type="continuationSeparator" w:id="0">
    <w:p w14:paraId="2CED2466" w14:textId="77777777" w:rsidR="004D677D" w:rsidRDefault="004D677D" w:rsidP="000E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199A" w14:textId="5B278483" w:rsidR="00556E1F" w:rsidRDefault="00556E1F">
    <w:pPr>
      <w:pStyle w:val="Nagwek"/>
    </w:pPr>
    <w:r w:rsidRPr="007F1F06">
      <w:rPr>
        <w:noProof/>
      </w:rPr>
      <w:drawing>
        <wp:inline distT="0" distB="0" distL="0" distR="0" wp14:anchorId="2957A580" wp14:editId="15DD256D">
          <wp:extent cx="5760720" cy="588645"/>
          <wp:effectExtent l="0" t="0" r="0" b="1905"/>
          <wp:docPr id="931591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80EBE"/>
    <w:rsid w:val="00484F34"/>
    <w:rsid w:val="00490565"/>
    <w:rsid w:val="004D0650"/>
    <w:rsid w:val="004D22F9"/>
    <w:rsid w:val="004D677D"/>
    <w:rsid w:val="004F1BB7"/>
    <w:rsid w:val="004F6688"/>
    <w:rsid w:val="005003BB"/>
    <w:rsid w:val="0052212F"/>
    <w:rsid w:val="00531EB2"/>
    <w:rsid w:val="005445DB"/>
    <w:rsid w:val="00555CC7"/>
    <w:rsid w:val="00556E1F"/>
    <w:rsid w:val="005672D4"/>
    <w:rsid w:val="0058189B"/>
    <w:rsid w:val="005822DC"/>
    <w:rsid w:val="005B02DB"/>
    <w:rsid w:val="005C7B7E"/>
    <w:rsid w:val="005D1291"/>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2AE8"/>
    <w:rsid w:val="00946ED0"/>
    <w:rsid w:val="00981BA8"/>
    <w:rsid w:val="0099435B"/>
    <w:rsid w:val="009A2222"/>
    <w:rsid w:val="009A23BD"/>
    <w:rsid w:val="009B1E32"/>
    <w:rsid w:val="009F008C"/>
    <w:rsid w:val="009F18B3"/>
    <w:rsid w:val="00A0132F"/>
    <w:rsid w:val="00A04FED"/>
    <w:rsid w:val="00A06CF1"/>
    <w:rsid w:val="00A407F1"/>
    <w:rsid w:val="00A4095D"/>
    <w:rsid w:val="00A40BBC"/>
    <w:rsid w:val="00A619FF"/>
    <w:rsid w:val="00A64803"/>
    <w:rsid w:val="00A7134F"/>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41E3"/>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51947"/>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7558</Words>
  <Characters>45353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3</cp:revision>
  <cp:lastPrinted>2023-11-22T10:20:00Z</cp:lastPrinted>
  <dcterms:created xsi:type="dcterms:W3CDTF">2025-01-13T07:04:00Z</dcterms:created>
  <dcterms:modified xsi:type="dcterms:W3CDTF">2025-01-13T07:09:00Z</dcterms:modified>
</cp:coreProperties>
</file>