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5CCC" w14:textId="7C0EF8C3" w:rsidR="009719AB" w:rsidRPr="0078034A" w:rsidRDefault="0078034A" w:rsidP="0078034A">
      <w:pPr>
        <w:tabs>
          <w:tab w:val="left" w:pos="6075"/>
        </w:tabs>
        <w:jc w:val="both"/>
        <w:rPr>
          <w:rFonts w:ascii="Poppins" w:hAnsi="Poppins" w:cs="Poppins"/>
          <w:sz w:val="18"/>
          <w:szCs w:val="18"/>
        </w:rPr>
      </w:pPr>
      <w:r w:rsidRPr="0078034A">
        <w:rPr>
          <w:rFonts w:ascii="Poppins" w:hAnsi="Poppins" w:cs="Poppins"/>
          <w:b/>
          <w:bCs/>
          <w:sz w:val="18"/>
          <w:szCs w:val="18"/>
        </w:rPr>
        <w:t>Załącznik nr 1</w:t>
      </w:r>
      <w:r w:rsidRPr="0078034A">
        <w:rPr>
          <w:rFonts w:ascii="Poppins" w:hAnsi="Poppins" w:cs="Poppins"/>
          <w:sz w:val="18"/>
          <w:szCs w:val="18"/>
        </w:rPr>
        <w:t xml:space="preserve"> do wniosku o wszczęcie postępowania o udzielenie zamówienia publicznego </w:t>
      </w:r>
      <w:r w:rsidR="00E41A60">
        <w:rPr>
          <w:rFonts w:ascii="Poppins" w:hAnsi="Poppins" w:cs="Poppins"/>
          <w:sz w:val="18"/>
          <w:szCs w:val="18"/>
        </w:rPr>
        <w:t>–</w:t>
      </w:r>
      <w:r w:rsidRPr="0078034A">
        <w:rPr>
          <w:rFonts w:ascii="Poppins" w:hAnsi="Poppins" w:cs="Poppins"/>
          <w:sz w:val="18"/>
          <w:szCs w:val="18"/>
        </w:rPr>
        <w:t xml:space="preserve"> </w:t>
      </w:r>
      <w:r w:rsidR="00E41A60">
        <w:rPr>
          <w:rFonts w:ascii="Poppins" w:hAnsi="Poppins" w:cs="Poppins"/>
          <w:sz w:val="18"/>
          <w:szCs w:val="18"/>
        </w:rPr>
        <w:t xml:space="preserve">Roczne przeglądy instalacji gazowych w budynkach </w:t>
      </w:r>
      <w:r w:rsidRPr="0078034A">
        <w:rPr>
          <w:rFonts w:ascii="Poppins" w:hAnsi="Poppins" w:cs="Poppins"/>
          <w:sz w:val="18"/>
          <w:szCs w:val="18"/>
        </w:rPr>
        <w:t xml:space="preserve">Wspólnot Mieszkaniowych zarządzanych przez ADM-1 </w:t>
      </w:r>
      <w:r w:rsidR="00E41A60">
        <w:rPr>
          <w:rFonts w:ascii="Poppins" w:hAnsi="Poppins" w:cs="Poppins"/>
          <w:sz w:val="18"/>
          <w:szCs w:val="18"/>
        </w:rPr>
        <w:br/>
      </w:r>
      <w:r w:rsidRPr="0078034A">
        <w:rPr>
          <w:rFonts w:ascii="Poppins" w:hAnsi="Poppins" w:cs="Poppins"/>
          <w:sz w:val="18"/>
          <w:szCs w:val="18"/>
        </w:rPr>
        <w:t>w Gorzowie Wlkp</w:t>
      </w:r>
    </w:p>
    <w:p w14:paraId="475291F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7A6F3EF5" w14:textId="77777777" w:rsidR="0060187A" w:rsidRPr="0060187A" w:rsidRDefault="0060187A" w:rsidP="0060187A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>cznik nr 3</w:t>
      </w:r>
    </w:p>
    <w:p w14:paraId="18CF3EB5" w14:textId="4DFDCEE6" w:rsidR="0060187A" w:rsidRPr="0060187A" w:rsidRDefault="0060187A" w:rsidP="0060187A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5C5CA2BE" w14:textId="024748F3" w:rsidR="0060187A" w:rsidRDefault="0060187A" w:rsidP="0060187A">
      <w:pPr>
        <w:adjustRightInd w:val="0"/>
        <w:jc w:val="center"/>
        <w:rPr>
          <w:rFonts w:ascii="Poppins" w:hAnsi="Poppins" w:cs="Poppins"/>
          <w:b/>
          <w:bCs/>
        </w:rPr>
      </w:pPr>
      <w:r w:rsidRPr="006B6DE9">
        <w:rPr>
          <w:rFonts w:ascii="Poppins" w:hAnsi="Poppins" w:cs="Poppins"/>
          <w:b/>
          <w:bCs/>
        </w:rPr>
        <w:t>Regulamin zapytania ofertowego dotyczącego wyłonienia wykonawcy</w:t>
      </w:r>
      <w:r>
        <w:rPr>
          <w:rFonts w:ascii="Poppins" w:hAnsi="Poppins" w:cs="Poppins"/>
          <w:b/>
          <w:bCs/>
        </w:rPr>
        <w:t xml:space="preserve"> na </w:t>
      </w:r>
      <w:r w:rsidRPr="008C1613">
        <w:rPr>
          <w:rFonts w:ascii="Poppins" w:hAnsi="Poppins" w:cs="Poppins"/>
          <w:b/>
          <w:bCs/>
        </w:rPr>
        <w:t>usług</w:t>
      </w:r>
      <w:r>
        <w:rPr>
          <w:rFonts w:ascii="Poppins" w:hAnsi="Poppins" w:cs="Poppins"/>
          <w:b/>
          <w:bCs/>
        </w:rPr>
        <w:t xml:space="preserve">ę </w:t>
      </w:r>
      <w:r w:rsidR="00E41A60">
        <w:rPr>
          <w:rFonts w:ascii="Poppins" w:hAnsi="Poppins" w:cs="Poppins"/>
          <w:b/>
          <w:bCs/>
        </w:rPr>
        <w:t xml:space="preserve">rocznych przeglądów gazowych w budynkach </w:t>
      </w:r>
      <w:r w:rsidRPr="008C1613">
        <w:rPr>
          <w:rFonts w:ascii="Poppins" w:hAnsi="Poppins" w:cs="Poppins"/>
          <w:b/>
          <w:bCs/>
        </w:rPr>
        <w:t>Wspólnot Mieszkaniowych zarządzanych przez ADM-</w:t>
      </w:r>
      <w:r>
        <w:rPr>
          <w:rFonts w:ascii="Poppins" w:hAnsi="Poppins" w:cs="Poppins"/>
          <w:b/>
          <w:bCs/>
        </w:rPr>
        <w:t>1</w:t>
      </w:r>
      <w:r w:rsidRPr="008C1613">
        <w:rPr>
          <w:rFonts w:ascii="Poppins" w:hAnsi="Poppins" w:cs="Poppins"/>
          <w:b/>
          <w:bCs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32498663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w szczególności: </w:t>
      </w:r>
      <w:r w:rsidR="0060187A">
        <w:rPr>
          <w:rFonts w:ascii="Poppins" w:hAnsi="Poppins" w:cs="Poppins"/>
          <w:sz w:val="18"/>
          <w:szCs w:val="18"/>
        </w:rPr>
        <w:br/>
      </w:r>
      <w:r w:rsidRPr="004B4E07">
        <w:rPr>
          <w:rFonts w:ascii="Poppins" w:hAnsi="Poppins" w:cs="Poppins"/>
          <w:sz w:val="18"/>
          <w:szCs w:val="18"/>
        </w:rPr>
        <w:t>w niewłaściwym postępowaniu na platformie zakupowej, w niewłaściwym miejscu na platformie zakupowej, w niewłaściwym terminie, itp.</w:t>
      </w:r>
    </w:p>
    <w:p w14:paraId="6166B15C" w14:textId="49B54AB2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9D41EFB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Nie dopuszcza się możliwości składania ofert wariantowych .</w:t>
      </w:r>
    </w:p>
    <w:p w14:paraId="4249A03E" w14:textId="460ACF7F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Zamawiający nie dopuszcza* możliwość zastosowania rozwiązań równoważnych/zamiennych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07A7B528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Co do zasady, oferty niekompletne, nieumożliwiające zidentyfikowania wykonawcy podlegają odrzuceniu, chyba że </w:t>
      </w:r>
      <w:r w:rsidR="00313A6C">
        <w:rPr>
          <w:rFonts w:ascii="Poppins" w:hAnsi="Poppins" w:cs="Poppins"/>
          <w:bCs/>
          <w:sz w:val="18"/>
          <w:szCs w:val="18"/>
        </w:rPr>
        <w:t>Zamawiający</w:t>
      </w:r>
      <w:r w:rsidRPr="00932BF1">
        <w:rPr>
          <w:rFonts w:ascii="Poppins" w:hAnsi="Poppins" w:cs="Poppins"/>
          <w:bCs/>
          <w:sz w:val="18"/>
          <w:szCs w:val="18"/>
        </w:rPr>
        <w:t xml:space="preserve"> postanowi inaczej.</w:t>
      </w:r>
    </w:p>
    <w:p w14:paraId="03A5C75D" w14:textId="27C71CEC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60187A" w:rsidRPr="00932BF1">
        <w:rPr>
          <w:rFonts w:ascii="Poppins" w:hAnsi="Poppins" w:cs="Poppins"/>
          <w:bCs/>
          <w:sz w:val="18"/>
          <w:szCs w:val="18"/>
        </w:rPr>
        <w:br/>
      </w:r>
      <w:r w:rsidRPr="00932BF1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Oferty złożone po terminie nie będą rozpatrywane. </w:t>
      </w:r>
    </w:p>
    <w:p w14:paraId="1A4E3CD9" w14:textId="4F096A43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Szczegółowej weryfikacji będą podlegać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wszystkie</w:t>
      </w:r>
      <w:r w:rsidRPr="00932BF1">
        <w:rPr>
          <w:rFonts w:ascii="Poppins" w:hAnsi="Poppins" w:cs="Poppins"/>
          <w:bCs/>
          <w:sz w:val="18"/>
          <w:szCs w:val="18"/>
        </w:rPr>
        <w:t xml:space="preserve"> oferty</w:t>
      </w:r>
      <w:r w:rsidR="0060187A" w:rsidRPr="00932BF1">
        <w:rPr>
          <w:rFonts w:ascii="Poppins" w:hAnsi="Poppins" w:cs="Poppins"/>
          <w:bCs/>
          <w:sz w:val="18"/>
          <w:szCs w:val="18"/>
        </w:rPr>
        <w:t>.</w:t>
      </w:r>
    </w:p>
    <w:p w14:paraId="468107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Zamówienie zostanie udzielone Wykonawcy, którego oferta nie będzie podlegała odrzuceniu, 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AE4A0AD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="00313A6C">
        <w:rPr>
          <w:rFonts w:ascii="Poppins" w:hAnsi="Poppins" w:cs="Poppins"/>
          <w:bCs/>
          <w:sz w:val="18"/>
          <w:szCs w:val="18"/>
        </w:rPr>
        <w:t xml:space="preserve">osobiście </w:t>
      </w:r>
      <w:r w:rsidR="00A34759">
        <w:rPr>
          <w:rFonts w:ascii="Poppins" w:hAnsi="Poppins" w:cs="Poppins"/>
          <w:bCs/>
          <w:sz w:val="18"/>
          <w:szCs w:val="18"/>
        </w:rPr>
        <w:t xml:space="preserve">w siedzibie ADM-1 </w:t>
      </w:r>
      <w:r w:rsidR="00313A6C">
        <w:rPr>
          <w:rFonts w:ascii="Poppins" w:hAnsi="Poppins" w:cs="Poppins"/>
          <w:bCs/>
          <w:sz w:val="18"/>
          <w:szCs w:val="18"/>
        </w:rPr>
        <w:t xml:space="preserve">lub za pomocą poczty elektronicznej w zależności od aktualnych możliwości stron a w przypadku braku kontaktu z oferentami </w:t>
      </w:r>
      <w:r w:rsidRPr="00932BF1">
        <w:rPr>
          <w:rFonts w:ascii="Poppins" w:hAnsi="Poppins" w:cs="Poppins"/>
          <w:bCs/>
          <w:sz w:val="18"/>
          <w:szCs w:val="18"/>
        </w:rPr>
        <w:t>poprzez Platformę Zakupową z wykorzystaniem dostępnych na niej trybów i narzędzi</w:t>
      </w:r>
      <w:r w:rsidR="0033712B" w:rsidRPr="00932BF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932BF1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lastRenderedPageBreak/>
        <w:t>Prowadzone negocjacje maja charakter poufny.</w:t>
      </w:r>
    </w:p>
    <w:p w14:paraId="26DBAB87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Negocjacje prowadzone za pomocą platformy zakupowej dokumentuje się za pomocą generowanych raportów lub historii korespondencji. Z negocjacji prowadzonych bezpośrednio sporządza się protokół w formie pisemnej Wskazana dokumentacja z negocjacji stanowi załącznik do umowy.</w:t>
      </w:r>
    </w:p>
    <w:p w14:paraId="5450150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2FA02BB4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otwarciu ofert</w:t>
      </w:r>
      <w:r w:rsidR="0060187A" w:rsidRPr="00932BF1">
        <w:rPr>
          <w:rFonts w:ascii="Poppins" w:hAnsi="Poppins" w:cs="Poppins"/>
          <w:bCs/>
          <w:sz w:val="18"/>
          <w:szCs w:val="18"/>
        </w:rPr>
        <w:t xml:space="preserve"> </w:t>
      </w:r>
      <w:r w:rsidRPr="00932BF1">
        <w:rPr>
          <w:rFonts w:ascii="Poppins" w:hAnsi="Poppins" w:cs="Poppins"/>
          <w:bCs/>
          <w:sz w:val="18"/>
          <w:szCs w:val="18"/>
        </w:rPr>
        <w:t>Zamawiający  udostępni wykonawcom, którzy złożyli oferty, na platformie zakupowej informację z otwarcia ofert zawierającą min. nazwy i adresy wykonawców oraz oferowane ceny w terminie do 3 dni roboczych.</w:t>
      </w:r>
    </w:p>
    <w:p w14:paraId="6566B85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08D479AF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terminie do 3 dni roboczych.</w:t>
      </w:r>
    </w:p>
    <w:p w14:paraId="5A4CE0B3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64300D1D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Kierownik lub zastępca </w:t>
      </w:r>
      <w:r w:rsidR="00E41A60">
        <w:rPr>
          <w:rFonts w:ascii="Poppins" w:hAnsi="Poppins" w:cs="Poppins"/>
          <w:b/>
          <w:sz w:val="18"/>
          <w:szCs w:val="18"/>
        </w:rPr>
        <w:t>K</w:t>
      </w:r>
      <w:r w:rsidRPr="00932BF1">
        <w:rPr>
          <w:rFonts w:ascii="Poppins" w:hAnsi="Poppins" w:cs="Poppins"/>
          <w:b/>
          <w:sz w:val="18"/>
          <w:szCs w:val="18"/>
        </w:rPr>
        <w:t>ierownika</w:t>
      </w:r>
      <w:r w:rsidRPr="00932BF1">
        <w:rPr>
          <w:rFonts w:ascii="Poppins" w:hAnsi="Poppins" w:cs="Poppins"/>
          <w:bCs/>
          <w:sz w:val="18"/>
          <w:szCs w:val="18"/>
        </w:rPr>
        <w:t xml:space="preserve"> </w:t>
      </w:r>
      <w:r w:rsidRPr="00932BF1">
        <w:rPr>
          <w:rFonts w:ascii="Poppins" w:hAnsi="Poppins" w:cs="Poppins"/>
          <w:b/>
          <w:sz w:val="18"/>
          <w:szCs w:val="18"/>
        </w:rPr>
        <w:t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932BF1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Uczestnikom postępowania nie przysługuje prawo do składania jakichkolwiek </w:t>
      </w:r>
      <w:proofErr w:type="spellStart"/>
      <w:r w:rsidRPr="00932BF1">
        <w:rPr>
          <w:rFonts w:ascii="Poppins" w:hAnsi="Poppins" w:cs="Poppins"/>
          <w:b/>
          <w:sz w:val="18"/>
          <w:szCs w:val="18"/>
        </w:rPr>
        <w:t>odwołań</w:t>
      </w:r>
      <w:proofErr w:type="spellEnd"/>
      <w:r w:rsidRPr="00932BF1">
        <w:rPr>
          <w:rFonts w:ascii="Poppins" w:hAnsi="Poppins" w:cs="Poppins"/>
          <w:b/>
          <w:sz w:val="18"/>
          <w:szCs w:val="18"/>
        </w:rPr>
        <w:t>.</w:t>
      </w:r>
    </w:p>
    <w:p w14:paraId="50DCF1AB" w14:textId="77777777" w:rsidR="00D47972" w:rsidRPr="00932BF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932BF1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932BF1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932BF1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4A2B09FD" w14:textId="432F2ADE" w:rsidR="000B4ABB" w:rsidRPr="0060187A" w:rsidRDefault="000B4ABB" w:rsidP="000B4ABB">
      <w:pPr>
        <w:shd w:val="clear" w:color="auto" w:fill="FFFFFF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lastRenderedPageBreak/>
        <w:t>zał</w:t>
      </w:r>
      <w:r w:rsidRPr="0060187A">
        <w:rPr>
          <w:rFonts w:ascii="Poppins Light" w:eastAsia="TimesNewRoman" w:hAnsi="Poppins Light" w:cs="Poppins Light"/>
          <w:sz w:val="18"/>
          <w:szCs w:val="18"/>
        </w:rPr>
        <w:t>ą</w:t>
      </w:r>
      <w:r w:rsidRPr="0060187A">
        <w:rPr>
          <w:rFonts w:ascii="Poppins Light" w:hAnsi="Poppins Light" w:cs="Poppins Light"/>
          <w:sz w:val="18"/>
          <w:szCs w:val="18"/>
        </w:rPr>
        <w:t xml:space="preserve">cznik nr </w:t>
      </w:r>
      <w:r>
        <w:rPr>
          <w:rFonts w:ascii="Poppins Light" w:hAnsi="Poppins Light" w:cs="Poppins Light"/>
          <w:sz w:val="18"/>
          <w:szCs w:val="18"/>
        </w:rPr>
        <w:t>4</w:t>
      </w:r>
    </w:p>
    <w:p w14:paraId="702B0680" w14:textId="77777777" w:rsidR="000B4ABB" w:rsidRPr="0060187A" w:rsidRDefault="000B4ABB" w:rsidP="000B4ABB">
      <w:pPr>
        <w:shd w:val="clear" w:color="auto" w:fill="FFFFFF"/>
        <w:spacing w:after="240"/>
        <w:jc w:val="right"/>
        <w:rPr>
          <w:rFonts w:ascii="Poppins Light" w:hAnsi="Poppins Light" w:cs="Poppins Light"/>
          <w:sz w:val="18"/>
          <w:szCs w:val="18"/>
        </w:rPr>
      </w:pPr>
      <w:r w:rsidRPr="0060187A">
        <w:rPr>
          <w:rFonts w:ascii="Poppins Light" w:hAnsi="Poppins Light" w:cs="Poppins Light"/>
          <w:sz w:val="18"/>
          <w:szCs w:val="18"/>
        </w:rPr>
        <w:t xml:space="preserve"> do zarządzenia  Nr 12/2024 Dyrektora ZGM z dnia 22.11.2024r.</w:t>
      </w: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5A3F1839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>Wspólnot Mieszkaniow</w:t>
      </w:r>
      <w:r w:rsidR="000B4ABB">
        <w:rPr>
          <w:rFonts w:ascii="Poppins" w:hAnsi="Poppins" w:cs="Poppins"/>
          <w:b/>
          <w:u w:val="single"/>
        </w:rPr>
        <w:t>ych</w:t>
      </w:r>
      <w:r w:rsidRPr="00056D8E">
        <w:rPr>
          <w:rFonts w:ascii="Poppins" w:hAnsi="Poppins" w:cs="Poppins"/>
          <w:b/>
          <w:u w:val="single"/>
        </w:rPr>
        <w:t xml:space="preserve"> </w:t>
      </w:r>
      <w:r w:rsidRPr="00056D8E">
        <w:rPr>
          <w:rFonts w:ascii="Poppins" w:hAnsi="Poppins" w:cs="Poppins"/>
        </w:rPr>
        <w:t>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P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sectPr w:rsidR="009719AB" w:rsidRPr="009719AB" w:rsidSect="00D35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9D87" w14:textId="77777777" w:rsidR="00932BF1" w:rsidRDefault="00932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7A19" w14:textId="77777777" w:rsidR="00932BF1" w:rsidRDefault="00932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BBA9" w14:textId="77777777" w:rsidR="00932BF1" w:rsidRDefault="00932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2E46" w14:textId="77777777" w:rsidR="00932BF1" w:rsidRDefault="00932B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1AD7" w14:textId="77777777" w:rsidR="00932BF1" w:rsidRDefault="00932B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44DE8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478CD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4ABB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3A6C"/>
    <w:rsid w:val="00315C75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91F1D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187A"/>
    <w:rsid w:val="00603179"/>
    <w:rsid w:val="00613AF9"/>
    <w:rsid w:val="0061632D"/>
    <w:rsid w:val="0062372C"/>
    <w:rsid w:val="006328B3"/>
    <w:rsid w:val="006474B5"/>
    <w:rsid w:val="00652BE9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790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34A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1793C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32BF1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4759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D4D71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A596A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6C8E"/>
    <w:rsid w:val="00E10ED9"/>
    <w:rsid w:val="00E14EDA"/>
    <w:rsid w:val="00E160EF"/>
    <w:rsid w:val="00E177AC"/>
    <w:rsid w:val="00E202EF"/>
    <w:rsid w:val="00E23022"/>
    <w:rsid w:val="00E338C2"/>
    <w:rsid w:val="00E40FE2"/>
    <w:rsid w:val="00E41A60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0602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1175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5</cp:revision>
  <cp:lastPrinted>2025-01-26T12:08:00Z</cp:lastPrinted>
  <dcterms:created xsi:type="dcterms:W3CDTF">2025-02-26T11:56:00Z</dcterms:created>
  <dcterms:modified xsi:type="dcterms:W3CDTF">2025-02-28T11:48:00Z</dcterms:modified>
</cp:coreProperties>
</file>