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C64C9D">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1327B0">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w:t>
      </w:r>
      <w:r w:rsidR="00D55C28" w:rsidRPr="00D55C28">
        <w:rPr>
          <w:rFonts w:ascii="Cambria" w:hAnsi="Cambria" w:cs="†¯øw≥¸"/>
          <w:b/>
          <w:bCs/>
          <w:i/>
          <w:iCs/>
        </w:rPr>
        <w:t>Część nr 6 - Modernizacja oczyszczalni ścieków w miejscowości Ustrobna, modernizacja pięciu przepompowni w aglomeracji Ustrobna oraz modernizacja sieci kanalizacji sanitarnej w miejscowości Ustrobna - Modernizacja sieci kanalizacji sanitarnej w miejscowości Ustrobna,</w:t>
      </w:r>
      <w:r>
        <w:rPr>
          <w:rFonts w:ascii="Cambria" w:hAnsi="Cambria" w:cs="†¯øw≥¸"/>
          <w:b/>
          <w:bCs/>
          <w:i/>
          <w:iCs/>
        </w:rPr>
        <w:t xml:space="preserve">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D55C28" w:rsidRDefault="00D55C28">
      <w:pPr>
        <w:pStyle w:val="Standard"/>
        <w:widowControl w:val="0"/>
        <w:spacing w:line="276" w:lineRule="auto"/>
        <w:jc w:val="center"/>
        <w:rPr>
          <w:rFonts w:ascii="Cambria" w:hAnsi="Cambria" w:cs="†¯øw≥¸"/>
          <w:b/>
          <w:color w:val="000000"/>
        </w:rPr>
      </w:pPr>
    </w:p>
    <w:p w:rsidR="00D55C28" w:rsidRDefault="00D55C28">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3</w:t>
      </w:r>
    </w:p>
    <w:p w:rsidR="005C021E" w:rsidRDefault="003C7897">
      <w:pPr>
        <w:pStyle w:val="Standard"/>
        <w:widowControl w:val="0"/>
        <w:spacing w:line="276" w:lineRule="auto"/>
        <w:jc w:val="center"/>
      </w:pPr>
      <w:r>
        <w:rPr>
          <w:rFonts w:ascii="Cambria" w:hAnsi="Cambria" w:cs="†¯øw≥¸"/>
          <w:b/>
          <w:color w:val="000000"/>
        </w:rPr>
        <w:t>Wykonawca i Podwykonawcy</w:t>
      </w:r>
    </w:p>
    <w:p w:rsidR="000863CA" w:rsidRPr="00D55C28" w:rsidRDefault="007C6070" w:rsidP="00275217">
      <w:pPr>
        <w:widowControl/>
        <w:numPr>
          <w:ilvl w:val="0"/>
          <w:numId w:val="76"/>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275217">
      <w:pPr>
        <w:widowControl/>
        <w:numPr>
          <w:ilvl w:val="0"/>
          <w:numId w:val="77"/>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275217">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275217">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275217">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275217">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lastRenderedPageBreak/>
        <w:t>skutkujących zatrzymaniem należnego Podwykonawcom wynagrodzenia w części lub całości  do czasu  odbioru robót przez Zamawiającego;</w:t>
      </w:r>
    </w:p>
    <w:p w:rsidR="007C6070" w:rsidRPr="007C6070" w:rsidRDefault="007C6070" w:rsidP="00275217">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275217">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 xml:space="preserve">Wykonawca zobowiązany jest zawiadamiać niezwłocznie Zamawiającego o wszelkich sporach z Podwykonawcami lub dalszymi Podwykonawcami i postępowaniach sądowych </w:t>
      </w:r>
      <w:r w:rsidRPr="007C6070">
        <w:rPr>
          <w:rFonts w:ascii="Cambria" w:hAnsi="Cambria" w:cs="Arial"/>
          <w:color w:val="000000"/>
        </w:rPr>
        <w:lastRenderedPageBreak/>
        <w:t>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lastRenderedPageBreak/>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lastRenderedPageBreak/>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w:t>
      </w:r>
      <w:r>
        <w:rPr>
          <w:rFonts w:ascii="Cambria" w:hAnsi="Cambria"/>
          <w:color w:val="000000"/>
        </w:rPr>
        <w:lastRenderedPageBreak/>
        <w:t>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D55C28" w:rsidRDefault="00D55C28">
      <w:pPr>
        <w:pStyle w:val="Standard"/>
        <w:widowControl w:val="0"/>
        <w:spacing w:line="276" w:lineRule="auto"/>
        <w:jc w:val="center"/>
        <w:rPr>
          <w:rFonts w:ascii="Cambria" w:hAnsi="Cambria" w:cs="†¯øw≥¸"/>
          <w:b/>
          <w:color w:val="000000"/>
        </w:rPr>
      </w:pPr>
    </w:p>
    <w:p w:rsidR="00D55C28" w:rsidRDefault="00D55C28">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275217">
      <w:pPr>
        <w:pStyle w:val="Akapitzlist"/>
        <w:numPr>
          <w:ilvl w:val="0"/>
          <w:numId w:val="81"/>
        </w:numPr>
        <w:tabs>
          <w:tab w:val="left" w:pos="360"/>
        </w:tabs>
        <w:spacing w:line="276" w:lineRule="auto"/>
        <w:jc w:val="both"/>
        <w:textAlignment w:val="auto"/>
        <w:rPr>
          <w:rFonts w:ascii="Cambria" w:hAnsi="Cambria"/>
        </w:rPr>
      </w:pPr>
      <w:r w:rsidRPr="00C802AF">
        <w:rPr>
          <w:rFonts w:ascii="Cambria" w:hAnsi="Cambria" w:cs="Arial"/>
          <w:color w:val="000000"/>
        </w:rPr>
        <w:lastRenderedPageBreak/>
        <w:t xml:space="preserve">Wykonawca jest zobowiązany przedłożyć najpóźniej na 7 dni przed terminem płatności należnego mu wynagrodzenia za odebrany przedmiot umowy, dowody dotyczące zapłaty wynagrodzenia Podwykonawcom lub dalszym podwykonawcom, za roboty stanowiące przedmiot odbioru końcowego. Dowody powinny potwierdzać brak zaległości Wykonawcy w uregulowaniu wszystkich wymagalnych wynagrodzeń Podwykonawców lub dalszych 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275217">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275217">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275217">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275217">
      <w:pPr>
        <w:pStyle w:val="Akapitzlist"/>
        <w:numPr>
          <w:ilvl w:val="0"/>
          <w:numId w:val="81"/>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275217">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275217">
      <w:pPr>
        <w:pStyle w:val="Standard"/>
        <w:numPr>
          <w:ilvl w:val="2"/>
          <w:numId w:val="82"/>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275217">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w:t>
      </w:r>
      <w:r>
        <w:rPr>
          <w:rFonts w:ascii="Cambria" w:hAnsi="Cambria"/>
          <w:bCs/>
          <w:iCs/>
          <w:color w:val="000000"/>
        </w:rPr>
        <w:lastRenderedPageBreak/>
        <w:t xml:space="preserve">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275217">
      <w:pPr>
        <w:pStyle w:val="Standard"/>
        <w:numPr>
          <w:ilvl w:val="2"/>
          <w:numId w:val="82"/>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275217">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xml:space="preserve">. W trakcie realizacji umowy Wykonawca może dokonać zmiany formy zabezpieczenia należytego wykonania umowy na </w:t>
      </w:r>
      <w:r>
        <w:rPr>
          <w:rFonts w:ascii="Cambria" w:eastAsia="Calibri" w:hAnsi="Cambria" w:cs="ArialNarrow"/>
          <w:color w:val="000000"/>
        </w:rPr>
        <w:lastRenderedPageBreak/>
        <w:t>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275217">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lastRenderedPageBreak/>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275217">
      <w:pPr>
        <w:pStyle w:val="Akapitzlist"/>
        <w:widowControl w:val="0"/>
        <w:numPr>
          <w:ilvl w:val="0"/>
          <w:numId w:val="62"/>
        </w:numPr>
        <w:spacing w:line="276" w:lineRule="auto"/>
        <w:ind w:left="426" w:hanging="426"/>
        <w:jc w:val="both"/>
      </w:pPr>
      <w:r>
        <w:rPr>
          <w:rFonts w:ascii="Cambria" w:hAnsi="Cambria" w:cs="†¯øw≥¸"/>
        </w:rPr>
        <w:t>Strony przewidują kary umowne w następujących wypadkach i wysokościach:</w:t>
      </w:r>
    </w:p>
    <w:p w:rsidR="005C021E" w:rsidRDefault="003C7897" w:rsidP="00275217">
      <w:pPr>
        <w:pStyle w:val="Akapitzlist"/>
        <w:widowControl w:val="0"/>
        <w:numPr>
          <w:ilvl w:val="0"/>
          <w:numId w:val="63"/>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lastRenderedPageBreak/>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275217">
      <w:pPr>
        <w:pStyle w:val="Tekstpodstawowy2"/>
        <w:numPr>
          <w:ilvl w:val="0"/>
          <w:numId w:val="64"/>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lastRenderedPageBreak/>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275217">
      <w:pPr>
        <w:pStyle w:val="Akapitzlist"/>
        <w:widowControl w:val="0"/>
        <w:numPr>
          <w:ilvl w:val="0"/>
          <w:numId w:val="65"/>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275217">
      <w:pPr>
        <w:pStyle w:val="Akapitzlist"/>
        <w:widowControl w:val="0"/>
        <w:numPr>
          <w:ilvl w:val="0"/>
          <w:numId w:val="66"/>
        </w:numPr>
        <w:spacing w:line="276" w:lineRule="auto"/>
        <w:ind w:left="993" w:hanging="426"/>
        <w:jc w:val="both"/>
      </w:pPr>
      <w:r>
        <w:rPr>
          <w:rFonts w:ascii="Cambria" w:hAnsi="Cambria" w:cs="†¯øw≥¸"/>
          <w:color w:val="000000"/>
        </w:rPr>
        <w:t>wystąpienia siły wyższej w rozumieniu § 1</w:t>
      </w:r>
      <w:r w:rsidR="00FC00B8">
        <w:rPr>
          <w:rFonts w:ascii="Cambria" w:hAnsi="Cambria" w:cs="†¯øw≥¸"/>
          <w:color w:val="000000"/>
        </w:rPr>
        <w:t>8</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275217">
      <w:pPr>
        <w:pStyle w:val="Akapitzlist"/>
        <w:widowControl w:val="0"/>
        <w:numPr>
          <w:ilvl w:val="0"/>
          <w:numId w:val="67"/>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2E2AF3">
        <w:rPr>
          <w:rFonts w:ascii="Cambria" w:hAnsi="Cambria" w:cs="†¯øw≥¸"/>
        </w:rPr>
        <w:t>8</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275217">
      <w:pPr>
        <w:pStyle w:val="Akapitzlist"/>
        <w:widowControl w:val="0"/>
        <w:numPr>
          <w:ilvl w:val="0"/>
          <w:numId w:val="68"/>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 xml:space="preserve">Strona, która występuje z propozycją zmiany umowy, w oparciu o przedstawiony powyżej katalog zmian umowy zobowiązana jest do sporządzenia i uzasadnienia wniosku o taką </w:t>
      </w:r>
      <w:r>
        <w:rPr>
          <w:rFonts w:ascii="Cambria" w:hAnsi="Cambria" w:cs="†¯øw≥¸"/>
          <w:color w:val="000000"/>
        </w:rPr>
        <w:lastRenderedPageBreak/>
        <w:t>zmianę. Wszelkie zmiany umowy dla swej ważności wymagają formy pisemnej w postaci aneksu do umowy.</w:t>
      </w:r>
    </w:p>
    <w:p w:rsidR="005020C6" w:rsidRDefault="005020C6">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rPr>
        <w:t>Klauzula waloryzacyjna</w:t>
      </w:r>
    </w:p>
    <w:p w:rsidR="005C021E" w:rsidRDefault="003C7897">
      <w:pPr>
        <w:pStyle w:val="Standard"/>
        <w:widowControl w:val="0"/>
        <w:spacing w:line="276" w:lineRule="auto"/>
        <w:jc w:val="both"/>
      </w:pPr>
      <w:r>
        <w:rPr>
          <w:rFonts w:ascii="Cambria" w:hAnsi="Cambria" w:cs="†¯øw≥¸"/>
        </w:rPr>
        <w:t>1. Zgodnie z art. 439 PZP, Strony postanawiają, iż dokonają waloryzacji kwoty wynagrodzenia Wykonawcy określonego w § 9</w:t>
      </w:r>
      <w:r w:rsidR="00BE1CED">
        <w:rPr>
          <w:rFonts w:ascii="Cambria" w:hAnsi="Cambria" w:cs="†¯øw≥¸"/>
        </w:rPr>
        <w:t xml:space="preserve"> ust. 2</w:t>
      </w:r>
      <w:r>
        <w:rPr>
          <w:rFonts w:ascii="Cambria" w:hAnsi="Cambria" w:cs="†¯øw≥¸"/>
        </w:rPr>
        <w:t xml:space="preserve"> Umowy w wypadku zmiany cen materiałów lub kosztów związanych z realizacją zamówienia, według następujących zasad:</w:t>
      </w:r>
    </w:p>
    <w:p w:rsidR="005C021E" w:rsidRDefault="003C7897">
      <w:pPr>
        <w:pStyle w:val="Standard"/>
        <w:widowControl w:val="0"/>
        <w:spacing w:line="276" w:lineRule="auto"/>
        <w:jc w:val="both"/>
      </w:pPr>
      <w:r>
        <w:rPr>
          <w:rFonts w:ascii="Cambria" w:hAnsi="Cambria" w:cs="†¯øw≥¸"/>
        </w:rPr>
        <w:t>1) waloryzacji będzie podlegać wynagrodzenie, objęte prawidłowo wystawioną fakturą po upływie 6 miesięcy od dnia zawarcia Umowy,</w:t>
      </w:r>
    </w:p>
    <w:p w:rsidR="005C021E" w:rsidRDefault="003C7897">
      <w:pPr>
        <w:pStyle w:val="Standard"/>
        <w:widowControl w:val="0"/>
        <w:spacing w:line="276" w:lineRule="auto"/>
        <w:jc w:val="both"/>
      </w:pPr>
      <w:r>
        <w:rPr>
          <w:rFonts w:ascii="Cambria" w:hAnsi="Cambria" w:cs="†¯øw≥¸"/>
        </w:rPr>
        <w:t>2) jeżeli Umowa została zawarta po upływie 180 dni od dnia upływu terminu składania ofert,</w:t>
      </w:r>
    </w:p>
    <w:p w:rsidR="005C021E" w:rsidRDefault="003C7897">
      <w:pPr>
        <w:pStyle w:val="Standard"/>
        <w:widowControl w:val="0"/>
        <w:spacing w:line="276" w:lineRule="auto"/>
        <w:jc w:val="both"/>
      </w:pPr>
      <w:r>
        <w:rPr>
          <w:rFonts w:ascii="Cambria" w:hAnsi="Cambria" w:cs="†¯øw≥¸"/>
        </w:rPr>
        <w:t>pierwsza waloryzacja nastąpi po 6 miesiącach od dnia upływu terminu składania ofert,</w:t>
      </w:r>
    </w:p>
    <w:p w:rsidR="005C021E" w:rsidRDefault="003C7897">
      <w:pPr>
        <w:pStyle w:val="Standard"/>
        <w:widowControl w:val="0"/>
        <w:spacing w:line="276" w:lineRule="auto"/>
        <w:jc w:val="both"/>
      </w:pPr>
      <w:r>
        <w:rPr>
          <w:rFonts w:ascii="Cambria" w:hAnsi="Cambria" w:cs="†¯øw≥¸"/>
        </w:rPr>
        <w:t>3) datą odniesienia dla waloryzacji będzie zawsze dzień wyznaczony w postępowaniu o udzielenie</w:t>
      </w:r>
    </w:p>
    <w:p w:rsidR="005C021E" w:rsidRDefault="003C7897">
      <w:pPr>
        <w:pStyle w:val="Standard"/>
        <w:widowControl w:val="0"/>
        <w:spacing w:line="276" w:lineRule="auto"/>
        <w:jc w:val="both"/>
      </w:pPr>
      <w:r>
        <w:rPr>
          <w:rFonts w:ascii="Cambria" w:hAnsi="Cambria" w:cs="†¯øw≥¸"/>
        </w:rPr>
        <w:t>zamówienia jako termin składania ofert,</w:t>
      </w:r>
    </w:p>
    <w:p w:rsidR="005C021E" w:rsidRDefault="003C7897">
      <w:pPr>
        <w:pStyle w:val="Standard"/>
        <w:widowControl w:val="0"/>
        <w:spacing w:line="276" w:lineRule="auto"/>
        <w:jc w:val="both"/>
      </w:pPr>
      <w:r>
        <w:rPr>
          <w:rFonts w:ascii="Cambria" w:hAnsi="Cambria" w:cs="†¯øw≥¸"/>
        </w:rPr>
        <w:t>4) waloryzacja będzie odbywała się przy zastosowaniu wskaźnika waloryzacji, obliczonego według następującego wzoru:</w:t>
      </w:r>
    </w:p>
    <w:p w:rsidR="005C021E" w:rsidRDefault="003C7897">
      <w:pPr>
        <w:pStyle w:val="Standard"/>
        <w:widowControl w:val="0"/>
        <w:spacing w:line="276" w:lineRule="auto"/>
        <w:jc w:val="both"/>
      </w:pPr>
      <w:r>
        <w:rPr>
          <w:rFonts w:ascii="Cambria" w:hAnsi="Cambria" w:cs="†¯øw≥¸"/>
        </w:rPr>
        <w:t>W=CBM/100 gdzie CBM – oznacza wskaźnik ceny produkcji budowlano-montażowej ogółem obowiązujący w miesiącu wystawienia faktury, opublikowanej przez Prezesa Głównego Urzędu Statystycznego na stronie GUS, jako wskaźnik zmiany w stosunku do daty złożenia ofert,</w:t>
      </w:r>
    </w:p>
    <w:p w:rsidR="005C021E" w:rsidRDefault="003C7897">
      <w:pPr>
        <w:pStyle w:val="Standard"/>
        <w:widowControl w:val="0"/>
        <w:spacing w:line="276" w:lineRule="auto"/>
        <w:jc w:val="both"/>
      </w:pPr>
      <w:r>
        <w:rPr>
          <w:rFonts w:ascii="Cambria" w:hAnsi="Cambria" w:cs="†¯øw≥¸"/>
        </w:rPr>
        <w:t>5) W sytuacji wzrostu cen w budownictwie, waloryzacja wynagrodzenia, poprzez jego podwyższenie, następować będzie gdy zmiana wynagrodzenia Wykonawcy z zastosowaniem ww.</w:t>
      </w:r>
    </w:p>
    <w:p w:rsidR="005C021E" w:rsidRDefault="003C7897">
      <w:pPr>
        <w:pStyle w:val="Standard"/>
        <w:widowControl w:val="0"/>
        <w:spacing w:line="276" w:lineRule="auto"/>
        <w:jc w:val="both"/>
      </w:pPr>
      <w:r>
        <w:rPr>
          <w:rFonts w:ascii="Cambria" w:hAnsi="Cambria" w:cs="†¯øw≥¸"/>
        </w:rPr>
        <w:t>wskaźnika waloryzacji oznaczać będzie zwiększanie o trzy lub więcej procent kwoty wynagrodzenia podlegającej waloryzacji.</w:t>
      </w:r>
    </w:p>
    <w:p w:rsidR="005C021E" w:rsidRDefault="003C7897">
      <w:pPr>
        <w:pStyle w:val="Standard"/>
        <w:widowControl w:val="0"/>
        <w:spacing w:line="276" w:lineRule="auto"/>
        <w:jc w:val="both"/>
      </w:pPr>
      <w:r>
        <w:rPr>
          <w:rFonts w:ascii="Cambria" w:hAnsi="Cambria" w:cs="†¯øw≥¸"/>
        </w:rPr>
        <w:t>6) W sytuacji spadku cen w budownictwie, waloryzacja wynagrodzenia, poprzez jego obniżenie,</w:t>
      </w:r>
    </w:p>
    <w:p w:rsidR="005C021E" w:rsidRDefault="003C7897">
      <w:pPr>
        <w:pStyle w:val="Standard"/>
        <w:widowControl w:val="0"/>
        <w:spacing w:line="276" w:lineRule="auto"/>
        <w:jc w:val="both"/>
      </w:pPr>
      <w:r>
        <w:rPr>
          <w:rFonts w:ascii="Cambria" w:hAnsi="Cambria" w:cs="†¯øw≥¸"/>
        </w:rPr>
        <w:t>następować będzie gdy zmiana wynagrodzenia Wykonawcy z zastosowaniem ww. wskaźnika waloryzacji, oznaczać będzie zmniejszenie o trzy lub więcej procent kwoty wynagrodzenia podlegającej waloryzacji.</w:t>
      </w:r>
    </w:p>
    <w:p w:rsidR="005C021E" w:rsidRDefault="003C7897">
      <w:pPr>
        <w:pStyle w:val="Standard"/>
        <w:widowControl w:val="0"/>
        <w:spacing w:line="276" w:lineRule="auto"/>
        <w:jc w:val="both"/>
      </w:pPr>
      <w:r>
        <w:rPr>
          <w:rFonts w:ascii="Cambria" w:hAnsi="Cambria" w:cs="†¯øw≥¸"/>
        </w:rPr>
        <w:t>7) Jeżeli zmiana wskaźnika nie przekroczy w danym okresie progów wskazanych w powyższych pkt. 5 (in plus) i pkt 6 (in minus) waloryzacja nie będzie stosowana,</w:t>
      </w:r>
    </w:p>
    <w:p w:rsidR="005C021E" w:rsidRDefault="003C7897">
      <w:pPr>
        <w:pStyle w:val="Standard"/>
        <w:widowControl w:val="0"/>
        <w:spacing w:line="276" w:lineRule="auto"/>
        <w:jc w:val="both"/>
      </w:pPr>
      <w:r>
        <w:rPr>
          <w:rFonts w:ascii="Cambria" w:hAnsi="Cambria" w:cs="†¯øw≥¸"/>
        </w:rPr>
        <w:t>8) Suma waloryzacji dokonywanych na podstawie zasad niniejszego paragrafu, rozumiana jako</w:t>
      </w:r>
    </w:p>
    <w:p w:rsidR="005C021E" w:rsidRDefault="003C7897">
      <w:pPr>
        <w:pStyle w:val="Standard"/>
        <w:widowControl w:val="0"/>
        <w:spacing w:line="276" w:lineRule="auto"/>
        <w:jc w:val="both"/>
      </w:pPr>
      <w:r>
        <w:rPr>
          <w:rFonts w:ascii="Cambria" w:hAnsi="Cambria" w:cs="†¯øw≥¸"/>
        </w:rPr>
        <w:t>zwiększenie albo obniżenie Wynagrodzenia należnego Wykonawcy, nie może przekroczyć limitu</w:t>
      </w:r>
    </w:p>
    <w:p w:rsidR="005C021E" w:rsidRDefault="003C7897">
      <w:pPr>
        <w:pStyle w:val="Standard"/>
        <w:widowControl w:val="0"/>
        <w:spacing w:line="276" w:lineRule="auto"/>
        <w:jc w:val="both"/>
      </w:pPr>
      <w:r>
        <w:rPr>
          <w:rFonts w:ascii="Cambria" w:hAnsi="Cambria" w:cs="†¯øw≥¸"/>
        </w:rPr>
        <w:t>5 % kwoty brutto określnej w § 9 ust. 2 Umowy.</w:t>
      </w:r>
    </w:p>
    <w:p w:rsidR="005C021E" w:rsidRDefault="003C7897">
      <w:pPr>
        <w:pStyle w:val="Standard"/>
        <w:widowControl w:val="0"/>
        <w:spacing w:line="276" w:lineRule="auto"/>
        <w:jc w:val="both"/>
      </w:pPr>
      <w:r>
        <w:rPr>
          <w:rFonts w:ascii="Cambria" w:hAnsi="Cambria" w:cs="†¯øw≥¸"/>
        </w:rPr>
        <w:t>9) Wykonawca obliczy wartość waloryzacji Wynagrodzenia dla każdej faktury podlegającej waloryzacji. Kwota waloryzacji będzie wykazana w treści faktury, jako osobna pozycja.</w:t>
      </w:r>
    </w:p>
    <w:p w:rsidR="005C021E" w:rsidRDefault="003C7897">
      <w:pPr>
        <w:pStyle w:val="Standard"/>
        <w:widowControl w:val="0"/>
        <w:spacing w:line="276" w:lineRule="auto"/>
        <w:jc w:val="both"/>
      </w:pPr>
      <w:r>
        <w:rPr>
          <w:rFonts w:ascii="Cambria" w:hAnsi="Cambria" w:cs="†¯øw≥¸"/>
        </w:rPr>
        <w:t>2. Jeżeli wynagrodzenie Wykonawcy zostało zmienione zgodnie z ust. 1 powyżej,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5C021E" w:rsidRDefault="003C7897">
      <w:pPr>
        <w:pStyle w:val="Standard"/>
        <w:widowControl w:val="0"/>
        <w:spacing w:line="276" w:lineRule="auto"/>
        <w:jc w:val="both"/>
      </w:pPr>
      <w:r>
        <w:rPr>
          <w:rFonts w:ascii="Cambria" w:hAnsi="Cambria" w:cs="†¯øw≥¸"/>
        </w:rPr>
        <w:t>1) przedmiotem umowy są roboty budowlane, dostawy lub usługi,</w:t>
      </w:r>
    </w:p>
    <w:p w:rsidR="005C021E" w:rsidRDefault="003C7897">
      <w:pPr>
        <w:pStyle w:val="Standard"/>
        <w:widowControl w:val="0"/>
        <w:spacing w:line="276" w:lineRule="auto"/>
        <w:jc w:val="both"/>
      </w:pPr>
      <w:r>
        <w:rPr>
          <w:rFonts w:ascii="Cambria" w:hAnsi="Cambria" w:cs="†¯øw≥¸"/>
        </w:rPr>
        <w:t>2) okres obowiązywania umowy przekracza 6 miesięcy.</w:t>
      </w:r>
    </w:p>
    <w:p w:rsidR="005C021E" w:rsidRDefault="003C7897">
      <w:pPr>
        <w:pStyle w:val="Standard"/>
        <w:widowControl w:val="0"/>
        <w:spacing w:line="276" w:lineRule="auto"/>
        <w:jc w:val="both"/>
      </w:pPr>
      <w:r>
        <w:rPr>
          <w:rFonts w:ascii="Cambria" w:hAnsi="Cambria" w:cs="†¯øw≥¸"/>
        </w:rPr>
        <w:t xml:space="preserve">3. Jeżeli zmiana, o której mowa w ust. 2 powyżej, spowodowała zwiększenie wynagrodzenia podwykonawcy, Wykonawca zobowiązany jest do zapłaty kwoty tego zwiększenia w terminie 30 </w:t>
      </w:r>
      <w:r>
        <w:rPr>
          <w:rFonts w:ascii="Cambria" w:hAnsi="Cambria" w:cs="†¯øw≥¸"/>
        </w:rPr>
        <w:lastRenderedPageBreak/>
        <w:t>dni od dnia otrzymania zapłaty od Zamawiającego.</w:t>
      </w:r>
    </w:p>
    <w:p w:rsidR="005020C6" w:rsidRDefault="005020C6">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275217">
      <w:pPr>
        <w:pStyle w:val="Akapitzlist"/>
        <w:widowControl w:val="0"/>
        <w:numPr>
          <w:ilvl w:val="0"/>
          <w:numId w:val="69"/>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275217">
      <w:pPr>
        <w:pStyle w:val="Akapitzlist"/>
        <w:widowControl w:val="0"/>
        <w:numPr>
          <w:ilvl w:val="0"/>
          <w:numId w:val="70"/>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275217">
      <w:pPr>
        <w:pStyle w:val="Akapitzlist"/>
        <w:widowControl w:val="0"/>
        <w:numPr>
          <w:ilvl w:val="0"/>
          <w:numId w:val="71"/>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021A8D" w:rsidRPr="003C3911" w:rsidRDefault="003C7897" w:rsidP="003C3911">
      <w:pPr>
        <w:pStyle w:val="Akapitzlist"/>
        <w:widowControl w:val="0"/>
        <w:numPr>
          <w:ilvl w:val="0"/>
          <w:numId w:val="11"/>
        </w:numPr>
        <w:spacing w:line="276" w:lineRule="auto"/>
        <w:ind w:left="426" w:hanging="426"/>
        <w:jc w:val="both"/>
      </w:pPr>
      <w:r>
        <w:rPr>
          <w:rFonts w:ascii="Cambria" w:hAnsi="Cambria" w:cs="†¯øw≥¸"/>
          <w:color w:val="000000"/>
        </w:rPr>
        <w:lastRenderedPageBreak/>
        <w:t>W przypadku niewykonania przez wykonawcę obowiązków wskazanych w ust. 3 zostaną one wykonane samodzielnie przez zamawiającego lub inny podmiot - na koszt wykonawcy.</w:t>
      </w:r>
    </w:p>
    <w:p w:rsidR="0039302F" w:rsidRDefault="0039302F">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8</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275217">
      <w:pPr>
        <w:pStyle w:val="Akapitzlist"/>
        <w:widowControl w:val="0"/>
        <w:numPr>
          <w:ilvl w:val="0"/>
          <w:numId w:val="72"/>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19</w:t>
      </w:r>
      <w:r>
        <w:rPr>
          <w:rFonts w:ascii="Cambria" w:hAnsi="Cambria"/>
          <w:b/>
          <w:color w:val="000000"/>
        </w:rPr>
        <w:br/>
        <w:t>Ochrona danych osobowych</w:t>
      </w:r>
    </w:p>
    <w:p w:rsidR="005C021E" w:rsidRDefault="003C7897" w:rsidP="00275217">
      <w:pPr>
        <w:pStyle w:val="Akapitzlist"/>
        <w:numPr>
          <w:ilvl w:val="0"/>
          <w:numId w:val="73"/>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B6603B" w:rsidRPr="00B6603B">
        <w:rPr>
          <w:rFonts w:ascii="Cambria" w:hAnsi="Cambria" w:cs="Arial"/>
          <w:b/>
          <w:color w:val="000000"/>
        </w:rPr>
        <w:t>20</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lastRenderedPageBreak/>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9B1C0C" w:rsidRDefault="009B1C0C">
      <w:pPr>
        <w:pStyle w:val="Standard"/>
        <w:widowControl w:val="0"/>
        <w:jc w:val="center"/>
        <w:rPr>
          <w:rFonts w:ascii="Cambria" w:hAnsi="Cambria" w:cs="†¯øw≥¸"/>
          <w:b/>
          <w:color w:val="000000"/>
        </w:rPr>
      </w:pP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150A0F">
        <w:rPr>
          <w:rFonts w:ascii="Cambria" w:hAnsi="Cambria" w:cs="†¯øw≥¸"/>
          <w:b/>
          <w:color w:val="000000"/>
        </w:rPr>
        <w:t>1</w:t>
      </w:r>
    </w:p>
    <w:p w:rsidR="005C021E" w:rsidRDefault="003C7897">
      <w:pPr>
        <w:pStyle w:val="Standard"/>
        <w:widowControl w:val="0"/>
        <w:jc w:val="center"/>
      </w:pPr>
      <w:r>
        <w:rPr>
          <w:rFonts w:ascii="Cambria" w:hAnsi="Cambria" w:cs="†¯øw≥¸"/>
          <w:b/>
          <w:color w:val="000000"/>
        </w:rPr>
        <w:t>Postanowienia końcowe</w:t>
      </w:r>
    </w:p>
    <w:p w:rsidR="005C021E" w:rsidRDefault="003C7897" w:rsidP="00275217">
      <w:pPr>
        <w:pStyle w:val="Akapitzlist"/>
        <w:widowControl w:val="0"/>
        <w:numPr>
          <w:ilvl w:val="0"/>
          <w:numId w:val="74"/>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275217">
      <w:pPr>
        <w:pStyle w:val="Akapitzlist"/>
        <w:widowControl w:val="0"/>
        <w:numPr>
          <w:ilvl w:val="0"/>
          <w:numId w:val="75"/>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A45B23">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E42" w:rsidRDefault="00A52E42">
      <w:r>
        <w:separator/>
      </w:r>
    </w:p>
  </w:endnote>
  <w:endnote w:type="continuationSeparator" w:id="0">
    <w:p w:rsidR="00A52E42" w:rsidRDefault="00A5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C64C9D">
      <w:rPr>
        <w:noProof/>
      </w:rPr>
      <w:t>21</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C64C9D">
      <w:rPr>
        <w:noProof/>
      </w:rPr>
      <w:t>21</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E42" w:rsidRDefault="00A52E42">
      <w:r>
        <w:rPr>
          <w:color w:val="000000"/>
        </w:rPr>
        <w:separator/>
      </w:r>
    </w:p>
  </w:footnote>
  <w:footnote w:type="continuationSeparator" w:id="0">
    <w:p w:rsidR="00A52E42" w:rsidRDefault="00A52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B994F53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85B84AF6"/>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307C591E"/>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C792E190"/>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F7BED90E"/>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707A5D94"/>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7302A328"/>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B20E6DA6"/>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CD224CC6"/>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24007DE8"/>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898AEFD6"/>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284EA8F8"/>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DDF80D6E"/>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val="0"/>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lvlOverride w:ilvl="0">
      <w:lvl w:ilvl="0">
        <w:start w:val="1"/>
        <w:numFmt w:val="decimal"/>
        <w:lvlText w:val="%1."/>
        <w:lvlJc w:val="left"/>
        <w:pPr>
          <w:ind w:left="720" w:hanging="360"/>
        </w:pPr>
        <w:rPr>
          <w:b w:val="0"/>
          <w:strike w:val="0"/>
          <w:dstrike w:val="0"/>
          <w:color w:val="000000"/>
        </w:rPr>
      </w:lvl>
    </w:lvlOverride>
  </w:num>
  <w:num w:numId="2">
    <w:abstractNumId w:val="36"/>
    <w:lvlOverride w:ilvl="0">
      <w:lvl w:ilvl="0">
        <w:start w:val="1"/>
        <w:numFmt w:val="decimal"/>
        <w:lvlText w:val="%1."/>
        <w:lvlJc w:val="left"/>
        <w:pPr>
          <w:ind w:left="720" w:hanging="360"/>
        </w:pPr>
        <w:rPr>
          <w:b w:val="0"/>
        </w:rPr>
      </w:lvl>
    </w:lvlOverride>
  </w:num>
  <w:num w:numId="3">
    <w:abstractNumId w:val="38"/>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num>
  <w:num w:numId="12">
    <w:abstractNumId w:val="23"/>
  </w:num>
  <w:num w:numId="13">
    <w:abstractNumId w:val="50"/>
  </w:num>
  <w:num w:numId="14">
    <w:abstractNumId w:val="53"/>
  </w:num>
  <w:num w:numId="15">
    <w:abstractNumId w:val="27"/>
  </w:num>
  <w:num w:numId="16">
    <w:abstractNumId w:val="12"/>
    <w:lvlOverride w:ilvl="0">
      <w:lvl w:ilvl="0">
        <w:start w:val="1"/>
        <w:numFmt w:val="decimal"/>
        <w:lvlText w:val="%1."/>
        <w:lvlJc w:val="left"/>
        <w:pPr>
          <w:ind w:left="720" w:hanging="360"/>
        </w:pPr>
        <w:rPr>
          <w:b w:val="0"/>
        </w:rPr>
      </w:lvl>
    </w:lvlOverride>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Override>
  </w:num>
  <w:num w:numId="52">
    <w:abstractNumId w:val="20"/>
    <w:lvlOverride w:ilvl="0">
      <w:startOverride w:val="1"/>
      <w:lvl w:ilvl="0">
        <w:start w:val="1"/>
        <w:numFmt w:val="decimal"/>
        <w:lvlText w:val="%1."/>
        <w:lvlJc w:val="left"/>
        <w:pPr>
          <w:ind w:left="720" w:hanging="360"/>
        </w:pPr>
        <w:rPr>
          <w:rFonts w:cs="Times New Roman"/>
          <w:b w:val="0"/>
        </w:rPr>
      </w:lvl>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Override>
  </w:num>
  <w:num w:numId="62">
    <w:abstractNumId w:val="31"/>
    <w:lvlOverride w:ilvl="0">
      <w:startOverride w:val="1"/>
    </w:lvlOverride>
  </w:num>
  <w:num w:numId="63">
    <w:abstractNumId w:val="24"/>
    <w:lvlOverride w:ilvl="0">
      <w:startOverride w:val="1"/>
    </w:lvlOverride>
  </w:num>
  <w:num w:numId="64">
    <w:abstractNumId w:val="5"/>
    <w:lvlOverride w:ilvl="0">
      <w:startOverride w:val="1"/>
    </w:lvlOverride>
  </w:num>
  <w:num w:numId="65">
    <w:abstractNumId w:val="28"/>
    <w:lvlOverride w:ilvl="0">
      <w:startOverride w:val="1"/>
    </w:lvlOverride>
  </w:num>
  <w:num w:numId="66">
    <w:abstractNumId w:val="8"/>
    <w:lvlOverride w:ilvl="0">
      <w:startOverride w:val="1"/>
    </w:lvlOverride>
  </w:num>
  <w:num w:numId="67">
    <w:abstractNumId w:val="26"/>
    <w:lvlOverride w:ilvl="0">
      <w:startOverride w:val="1"/>
    </w:lvlOverride>
  </w:num>
  <w:num w:numId="68">
    <w:abstractNumId w:val="54"/>
    <w:lvlOverride w:ilvl="0">
      <w:startOverride w:val="1"/>
    </w:lvlOverride>
  </w:num>
  <w:num w:numId="69">
    <w:abstractNumId w:val="17"/>
    <w:lvlOverride w:ilvl="0">
      <w:startOverride w:val="1"/>
    </w:lvlOverride>
  </w:num>
  <w:num w:numId="70">
    <w:abstractNumId w:val="50"/>
    <w:lvlOverride w:ilvl="0">
      <w:startOverride w:val="1"/>
    </w:lvlOverride>
  </w:num>
  <w:num w:numId="71">
    <w:abstractNumId w:val="53"/>
    <w:lvlOverride w:ilvl="0">
      <w:startOverride w:val="1"/>
    </w:lvlOverride>
  </w:num>
  <w:num w:numId="72">
    <w:abstractNumId w:val="27"/>
    <w:lvlOverride w:ilvl="0">
      <w:startOverride w:val="1"/>
    </w:lvlOverride>
  </w:num>
  <w:num w:numId="73">
    <w:abstractNumId w:val="29"/>
    <w:lvlOverride w:ilvl="0">
      <w:startOverride w:val="1"/>
    </w:lvlOverride>
  </w:num>
  <w:num w:numId="74">
    <w:abstractNumId w:val="12"/>
    <w:lvlOverride w:ilvl="0">
      <w:startOverride w:val="1"/>
    </w:lvlOverride>
  </w:num>
  <w:num w:numId="75">
    <w:abstractNumId w:val="1"/>
    <w:lvlOverride w:ilvl="0">
      <w:startOverride w:val="1"/>
    </w:lvlOverride>
  </w:num>
  <w:num w:numId="76">
    <w:abstractNumId w:val="35"/>
  </w:num>
  <w:num w:numId="77">
    <w:abstractNumId w:val="42"/>
  </w:num>
  <w:num w:numId="78">
    <w:abstractNumId w:val="40"/>
  </w:num>
  <w:num w:numId="79">
    <w:abstractNumId w:val="0"/>
  </w:num>
  <w:num w:numId="80">
    <w:abstractNumId w:val="45"/>
  </w:num>
  <w:num w:numId="81">
    <w:abstractNumId w:val="34"/>
  </w:num>
  <w:num w:numId="82">
    <w:abstractNumId w:val="41"/>
  </w:num>
  <w:num w:numId="83">
    <w:abstractNumId w:val="3"/>
  </w:num>
  <w:num w:numId="84">
    <w:abstractNumId w:val="6"/>
  </w:num>
  <w:num w:numId="85">
    <w:abstractNumId w:val="10"/>
  </w:num>
  <w:num w:numId="86">
    <w:abstractNumId w:val="12"/>
  </w:num>
  <w:num w:numId="87">
    <w:abstractNumId w:val="16"/>
  </w:num>
  <w:num w:numId="88">
    <w:abstractNumId w:val="22"/>
  </w:num>
  <w:num w:numId="89">
    <w:abstractNumId w:val="28"/>
  </w:num>
  <w:num w:numId="90">
    <w:abstractNumId w:val="29"/>
  </w:num>
  <w:num w:numId="91">
    <w:abstractNumId w:val="31"/>
  </w:num>
  <w:num w:numId="92">
    <w:abstractNumId w:val="36"/>
  </w:num>
  <w:num w:numId="93">
    <w:abstractNumId w:val="3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863CA"/>
    <w:rsid w:val="000E569E"/>
    <w:rsid w:val="000E5CD6"/>
    <w:rsid w:val="000F52EC"/>
    <w:rsid w:val="001327B0"/>
    <w:rsid w:val="00150A0F"/>
    <w:rsid w:val="001D3627"/>
    <w:rsid w:val="002412A5"/>
    <w:rsid w:val="00275217"/>
    <w:rsid w:val="002E2AF3"/>
    <w:rsid w:val="002E6E80"/>
    <w:rsid w:val="0039302F"/>
    <w:rsid w:val="003C3911"/>
    <w:rsid w:val="003C7897"/>
    <w:rsid w:val="003E0FE6"/>
    <w:rsid w:val="00430EF2"/>
    <w:rsid w:val="00473AE8"/>
    <w:rsid w:val="00484FCE"/>
    <w:rsid w:val="004C0154"/>
    <w:rsid w:val="004E6C01"/>
    <w:rsid w:val="005020C6"/>
    <w:rsid w:val="0056553A"/>
    <w:rsid w:val="005836FF"/>
    <w:rsid w:val="00584375"/>
    <w:rsid w:val="005C021E"/>
    <w:rsid w:val="006F092C"/>
    <w:rsid w:val="007463EC"/>
    <w:rsid w:val="007C6070"/>
    <w:rsid w:val="007D37DB"/>
    <w:rsid w:val="007E6C24"/>
    <w:rsid w:val="008442E0"/>
    <w:rsid w:val="008446B1"/>
    <w:rsid w:val="00865EE5"/>
    <w:rsid w:val="008F549A"/>
    <w:rsid w:val="0091124A"/>
    <w:rsid w:val="00915A4E"/>
    <w:rsid w:val="00927A13"/>
    <w:rsid w:val="009345CA"/>
    <w:rsid w:val="009B1C0C"/>
    <w:rsid w:val="009D0F4F"/>
    <w:rsid w:val="009E70E9"/>
    <w:rsid w:val="00A45B23"/>
    <w:rsid w:val="00A52E42"/>
    <w:rsid w:val="00A60499"/>
    <w:rsid w:val="00AD2B5B"/>
    <w:rsid w:val="00B6603B"/>
    <w:rsid w:val="00BE1CED"/>
    <w:rsid w:val="00C64C9D"/>
    <w:rsid w:val="00C802AF"/>
    <w:rsid w:val="00D50C9A"/>
    <w:rsid w:val="00D55C28"/>
    <w:rsid w:val="00DD73A7"/>
    <w:rsid w:val="00DE14CC"/>
    <w:rsid w:val="00E1187A"/>
    <w:rsid w:val="00E678C9"/>
    <w:rsid w:val="00EA0856"/>
    <w:rsid w:val="00F462FB"/>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87"/>
      </w:numPr>
    </w:pPr>
  </w:style>
  <w:style w:type="numbering" w:customStyle="1" w:styleId="WWNum2">
    <w:name w:val="WWNum2"/>
    <w:basedOn w:val="Bezlisty"/>
    <w:pPr>
      <w:numPr>
        <w:numId w:val="9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3"/>
      </w:numPr>
    </w:pPr>
  </w:style>
  <w:style w:type="numbering" w:customStyle="1" w:styleId="WWNum7">
    <w:name w:val="WWNum7"/>
    <w:basedOn w:val="Bezlisty"/>
    <w:pPr>
      <w:numPr>
        <w:numId w:val="88"/>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86"/>
      </w:numPr>
    </w:pPr>
  </w:style>
  <w:style w:type="numbering" w:customStyle="1" w:styleId="WWNum17">
    <w:name w:val="WWNum17"/>
    <w:basedOn w:val="Bezlisty"/>
    <w:pPr>
      <w:numPr>
        <w:numId w:val="91"/>
      </w:numPr>
    </w:pPr>
  </w:style>
  <w:style w:type="numbering" w:customStyle="1" w:styleId="WWNum18">
    <w:name w:val="WWNum18"/>
    <w:basedOn w:val="Bezlisty"/>
    <w:pPr>
      <w:numPr>
        <w:numId w:val="89"/>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0"/>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4"/>
      </w:numPr>
    </w:pPr>
  </w:style>
  <w:style w:type="numbering" w:customStyle="1" w:styleId="WWNum31">
    <w:name w:val="WWNum31"/>
    <w:basedOn w:val="Bezlisty"/>
    <w:pPr>
      <w:numPr>
        <w:numId w:val="79"/>
      </w:numPr>
    </w:pPr>
  </w:style>
  <w:style w:type="numbering" w:customStyle="1" w:styleId="WWNum32">
    <w:name w:val="WWNum32"/>
    <w:basedOn w:val="Bezlisty"/>
    <w:pPr>
      <w:numPr>
        <w:numId w:val="80"/>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5"/>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3"/>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7663</Words>
  <Characters>45980</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8</cp:revision>
  <cp:lastPrinted>2021-08-11T10:36:00Z</cp:lastPrinted>
  <dcterms:created xsi:type="dcterms:W3CDTF">2024-07-03T07:45:00Z</dcterms:created>
  <dcterms:modified xsi:type="dcterms:W3CDTF">2024-07-03T08:19:00Z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