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Textbody"/>
        <w:pBdr>
          <w:bottom w:val="single" w:sz="4" w:space="1" w:color="00000A"/>
        </w:pBdr>
        <w:spacing w:line="276" w:lineRule="auto"/>
        <w:jc w:val="center"/>
      </w:pPr>
      <w:r>
        <w:rPr>
          <w:rFonts w:ascii="Cambria" w:hAnsi="Cambria" w:cs="Times New Roman"/>
          <w:sz w:val="24"/>
          <w:szCs w:val="24"/>
        </w:rPr>
        <w:t>Umowy</w:t>
      </w:r>
    </w:p>
    <w:p w:rsidR="005C021E" w:rsidRDefault="003C7897">
      <w:pPr>
        <w:pStyle w:val="Standard"/>
        <w:tabs>
          <w:tab w:val="left" w:pos="567"/>
        </w:tabs>
        <w:spacing w:line="276" w:lineRule="auto"/>
        <w:jc w:val="center"/>
      </w:pPr>
      <w:r>
        <w:rPr>
          <w:rFonts w:ascii="Cambria" w:hAnsi="Cambria"/>
          <w:bCs/>
        </w:rPr>
        <w:t xml:space="preserve"> (Zna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w:t>
      </w:r>
      <w:r w:rsidR="00882FD5">
        <w:rPr>
          <w:rFonts w:ascii="Cambria" w:hAnsi="Cambria"/>
          <w:b/>
          <w:bCs/>
          <w:lang w:eastAsia="pl-PL"/>
        </w:rPr>
        <w:t>10</w:t>
      </w:r>
      <w:bookmarkStart w:id="0" w:name="_GoBack"/>
      <w:bookmarkEnd w:id="0"/>
      <w:r>
        <w:rPr>
          <w:rFonts w:ascii="Cambria" w:hAnsi="Cambria"/>
          <w:b/>
          <w:bCs/>
          <w:lang w:eastAsia="pl-PL"/>
        </w:rPr>
        <w:t>.2024</w:t>
      </w:r>
      <w:r>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1" w:name="Bookmark"/>
      <w:bookmarkEnd w:id="1"/>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Default="003C7897" w:rsidP="00685685">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nazwą: „</w:t>
      </w:r>
      <w:r>
        <w:rPr>
          <w:rFonts w:ascii="Cambria" w:hAnsi="Cambria" w:cs="†¯øw≥¸"/>
          <w:b/>
          <w:bCs/>
        </w:rPr>
        <w:t>Poprawa jakości środowiska w gminie Wojaszówka poprzez inwestycje                           w infrastrukturę oczyszczania ścieków i kanalizacji ściekowej</w:t>
      </w:r>
      <w:r>
        <w:rPr>
          <w:rFonts w:ascii="Cambria" w:hAnsi="Cambria" w:cs="†¯øw≥¸"/>
          <w:b/>
          <w:bCs/>
          <w:i/>
          <w:iCs/>
        </w:rPr>
        <w:t xml:space="preserve">” – </w:t>
      </w:r>
      <w:r w:rsidR="00685685" w:rsidRPr="00685685">
        <w:rPr>
          <w:rFonts w:ascii="Cambria" w:hAnsi="Cambria" w:cs="†¯øw≥¸"/>
          <w:b/>
          <w:bCs/>
          <w:i/>
          <w:iCs/>
        </w:rPr>
        <w:t>Część nr 2 - Rozbudowa oczyszczalni ścieków w miejscowości Wojaszówka oraz modernizacja sieci kanalizacji sanitarnej w miejscowości Wojaszówka - Modernizacj</w:t>
      </w:r>
      <w:r w:rsidR="00685685">
        <w:rPr>
          <w:rFonts w:ascii="Cambria" w:hAnsi="Cambria" w:cs="†¯øw≥¸"/>
          <w:b/>
          <w:bCs/>
          <w:i/>
          <w:iCs/>
        </w:rPr>
        <w:t>a sieci kanalizacji sanitarnej w miejscowości Wojaszówka</w:t>
      </w:r>
      <w:r>
        <w:rPr>
          <w:rFonts w:ascii="Cambria" w:hAnsi="Cambria" w:cs="†¯øw≥¸"/>
          <w:b/>
          <w:bCs/>
          <w:i/>
          <w:iCs/>
        </w:rPr>
        <w:t xml:space="preserve"> </w:t>
      </w:r>
      <w:r>
        <w:rPr>
          <w:rFonts w:ascii="Cambria" w:hAnsi="Cambria"/>
          <w:bCs/>
          <w:color w:val="000000"/>
        </w:rPr>
        <w:t>(zwanego dalej „Projektem”).</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Default="003C7897">
      <w:pPr>
        <w:pStyle w:val="Standard"/>
        <w:widowControl w:val="0"/>
        <w:spacing w:line="276" w:lineRule="auto"/>
        <w:jc w:val="center"/>
      </w:pPr>
      <w:r>
        <w:rPr>
          <w:rFonts w:ascii="Cambria" w:hAnsi="Cambria" w:cs="†¯øw≥¸"/>
          <w:b/>
          <w:color w:val="000000"/>
        </w:rPr>
        <w:t>§ 2</w:t>
      </w:r>
    </w:p>
    <w:p w:rsidR="005C021E" w:rsidRDefault="003C7897">
      <w:pPr>
        <w:pStyle w:val="Standard"/>
        <w:widowControl w:val="0"/>
        <w:spacing w:line="276" w:lineRule="auto"/>
        <w:jc w:val="center"/>
      </w:pPr>
      <w:r>
        <w:rPr>
          <w:rFonts w:ascii="Cambria" w:hAnsi="Cambria" w:cs="†¯øw≥¸"/>
          <w:b/>
          <w:color w:val="000000"/>
        </w:rPr>
        <w:t>Termin wykonania umowy</w:t>
      </w:r>
    </w:p>
    <w:p w:rsidR="005C021E" w:rsidRDefault="003C7897">
      <w:pPr>
        <w:pStyle w:val="Akapitzlist"/>
        <w:widowControl w:val="0"/>
        <w:numPr>
          <w:ilvl w:val="0"/>
          <w:numId w:val="52"/>
        </w:numPr>
        <w:spacing w:line="276" w:lineRule="auto"/>
        <w:ind w:left="567" w:hanging="567"/>
        <w:jc w:val="both"/>
      </w:pPr>
      <w:r>
        <w:rPr>
          <w:rFonts w:ascii="Cambria" w:hAnsi="Cambria" w:cs="†¯øw≥¸"/>
          <w:color w:val="000000"/>
        </w:rPr>
        <w:t xml:space="preserve">Wykonawca jest zobowiązany do wykonania świadczenia wskazanego w § 1 </w:t>
      </w:r>
      <w:r>
        <w:rPr>
          <w:rFonts w:ascii="Cambria" w:hAnsi="Cambria" w:cs="†¯øw≥¸"/>
          <w:color w:val="000000"/>
        </w:rPr>
        <w:br/>
        <w:t xml:space="preserve">umowy w terminie </w:t>
      </w:r>
      <w:r>
        <w:rPr>
          <w:rFonts w:ascii="Cambria" w:hAnsi="Cambria" w:cs="†¯øw≥¸"/>
          <w:b/>
          <w:color w:val="000000"/>
        </w:rPr>
        <w:t>……</w:t>
      </w:r>
      <w:r>
        <w:rPr>
          <w:rFonts w:ascii="Cambria" w:hAnsi="Cambria" w:cs="†¯øw≥¸"/>
          <w:b/>
          <w:bCs/>
        </w:rPr>
        <w:t xml:space="preserve"> miesięcy od dnia zawarcia umowy </w:t>
      </w:r>
      <w:r>
        <w:rPr>
          <w:rFonts w:ascii="Cambria" w:hAnsi="Cambria" w:cs="Arial"/>
          <w:bCs/>
          <w:color w:val="000000"/>
          <w:u w:val="single"/>
        </w:rPr>
        <w:t>Za termin wykonania zamówienia strony uznają zgłoszenie gotowości odbioru wraz z kompletem dokumentów wymaganych do odbioru.</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3</w:t>
      </w:r>
    </w:p>
    <w:p w:rsidR="005C021E" w:rsidRDefault="003C7897">
      <w:pPr>
        <w:pStyle w:val="Standard"/>
        <w:widowControl w:val="0"/>
        <w:spacing w:line="276" w:lineRule="auto"/>
        <w:jc w:val="center"/>
      </w:pPr>
      <w:r>
        <w:rPr>
          <w:rFonts w:ascii="Cambria" w:hAnsi="Cambria" w:cs="†¯øw≥¸"/>
          <w:b/>
          <w:color w:val="000000"/>
        </w:rPr>
        <w:t>Wykonawca i Podwykonawcy</w:t>
      </w:r>
    </w:p>
    <w:p w:rsidR="007C6070" w:rsidRDefault="007C6070" w:rsidP="00B7015E">
      <w:pPr>
        <w:widowControl/>
        <w:numPr>
          <w:ilvl w:val="0"/>
          <w:numId w:val="76"/>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rsidR="000863CA" w:rsidRDefault="000863CA" w:rsidP="000863CA">
      <w:pPr>
        <w:widowControl/>
        <w:suppressAutoHyphens w:val="0"/>
        <w:jc w:val="both"/>
        <w:textAlignment w:val="auto"/>
        <w:rPr>
          <w:rFonts w:ascii="Cambria" w:hAnsi="Cambria" w:cs="Arial"/>
          <w:color w:val="000000"/>
          <w:lang w:eastAsia="pl-PL"/>
        </w:rPr>
      </w:pPr>
    </w:p>
    <w:p w:rsidR="000863CA" w:rsidRDefault="000863CA" w:rsidP="000863CA">
      <w:pPr>
        <w:widowControl/>
        <w:suppressAutoHyphens w:val="0"/>
        <w:jc w:val="both"/>
        <w:textAlignment w:val="auto"/>
        <w:rPr>
          <w:rFonts w:ascii="Cambria" w:hAnsi="Cambria" w:cs="Arial"/>
          <w:color w:val="000000"/>
          <w:lang w:eastAsia="pl-PL"/>
        </w:rPr>
      </w:pPr>
    </w:p>
    <w:p w:rsidR="000863CA" w:rsidRPr="007C6070" w:rsidRDefault="000863CA" w:rsidP="000863CA">
      <w:pPr>
        <w:widowControl/>
        <w:suppressAutoHyphens w:val="0"/>
        <w:jc w:val="both"/>
        <w:textAlignment w:val="auto"/>
        <w:rPr>
          <w:rFonts w:ascii="Cambria" w:hAnsi="Cambria" w:cs="Arial"/>
          <w:color w:val="000000"/>
          <w:lang w:eastAsia="pl-PL"/>
        </w:rPr>
      </w:pP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B7015E">
      <w:pPr>
        <w:widowControl/>
        <w:numPr>
          <w:ilvl w:val="0"/>
          <w:numId w:val="77"/>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B7015E">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B7015E">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B7015E">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B7015E">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B7015E">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B7015E">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B7015E">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B7015E">
      <w:pPr>
        <w:widowControl/>
        <w:numPr>
          <w:ilvl w:val="0"/>
          <w:numId w:val="77"/>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B7015E">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uzależniających uzyskanie przez Podwykonawcę płatności od Wykonawcy od zapłaty przez Zamawiającego Wykonawcy wynagrodzenia obejmującego zakres robót wykonanych przez Podwykonawcę;</w:t>
      </w:r>
    </w:p>
    <w:p w:rsidR="007C6070" w:rsidRPr="007C6070" w:rsidRDefault="007C6070" w:rsidP="00B7015E">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B7015E">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lastRenderedPageBreak/>
        <w:t>skutkujących zatrzymaniem należnego Podwykonawcom wynagrodzenia w części lub całości  do czasu  odbioru robót przez Zamawiającego;</w:t>
      </w:r>
    </w:p>
    <w:p w:rsidR="007C6070" w:rsidRPr="007C6070" w:rsidRDefault="007C6070" w:rsidP="00B7015E">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o potrącaniu z wynagrodzenia Podwykonawcy kaucji gwarancyjnej i należności z tytułu generalnego wykonawstwa, w tym kosztów organizacji i utrzymania budowy;</w:t>
      </w:r>
    </w:p>
    <w:p w:rsidR="007C6070" w:rsidRPr="007C6070" w:rsidRDefault="007C6070" w:rsidP="00B7015E">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EA0856">
        <w:rPr>
          <w:rFonts w:ascii="Cambria" w:hAnsi="Cambria" w:cs="Arial"/>
        </w:rPr>
        <w:t>4</w:t>
      </w:r>
      <w:r w:rsidR="000863CA" w:rsidRPr="000863CA">
        <w:rPr>
          <w:rFonts w:ascii="Cambria" w:hAnsi="Cambria" w:cs="Arial"/>
        </w:rPr>
        <w:t>.</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 xml:space="preserve">Wykonawca zobowiązany jest zawiadamiać niezwłocznie Zamawiającego o wszelkich sporach z Podwykonawcami lub dalszymi Podwykonawcami i postępowaniach sądowych </w:t>
      </w:r>
      <w:r w:rsidRPr="007C6070">
        <w:rPr>
          <w:rFonts w:ascii="Cambria" w:hAnsi="Cambria" w:cs="Arial"/>
          <w:color w:val="000000"/>
        </w:rPr>
        <w:lastRenderedPageBreak/>
        <w:t>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t xml:space="preserve">19. Zamawiający dopuszcza możliwość zmiany albo rezygnacji przez Wykonawcę z podwykonawców, z tym iż, w przypadku podwykonawców biorących udział w realizacji 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lastRenderedPageBreak/>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lastRenderedPageBreak/>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w:t>
      </w:r>
      <w:r>
        <w:rPr>
          <w:rFonts w:ascii="Cambria" w:hAnsi="Cambria"/>
          <w:color w:val="000000"/>
        </w:rPr>
        <w:lastRenderedPageBreak/>
        <w:t>reprezentują jego interesy w toku realizacji zamówienia oraz uprawnieni są do bieżących ustaleń z Wykonawcą w zakresie sposobu realizacji umowy oraz monitorowania przebiegu 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współpraca z Wykonawcą w celu terminowego wykonania przez niego zobowiązań oraz informowanie Wykonawcy o zmianach i sytuacjach, które mogłyby wpłynąć na wykonanie przedmiotu umowy;</w:t>
      </w:r>
    </w:p>
    <w:p w:rsidR="00DE14CC" w:rsidRDefault="00DE14CC" w:rsidP="008446B1">
      <w:pPr>
        <w:pStyle w:val="Standard"/>
        <w:widowControl w:val="0"/>
        <w:spacing w:line="276" w:lineRule="auto"/>
        <w:rPr>
          <w:rFonts w:ascii="Cambria" w:hAnsi="Cambria" w:cs="†¯øw≥¸"/>
          <w:b/>
          <w:color w:val="000000"/>
        </w:rPr>
      </w:pPr>
    </w:p>
    <w:p w:rsidR="00B92394" w:rsidRDefault="00B92394">
      <w:pPr>
        <w:pStyle w:val="Standard"/>
        <w:widowControl w:val="0"/>
        <w:spacing w:line="276" w:lineRule="auto"/>
        <w:jc w:val="center"/>
        <w:rPr>
          <w:rFonts w:ascii="Cambria" w:hAnsi="Cambria" w:cs="†¯øw≥¸"/>
          <w:b/>
          <w:color w:val="000000"/>
        </w:rPr>
      </w:pPr>
    </w:p>
    <w:p w:rsidR="00B92394" w:rsidRDefault="00B92394">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szczegółowo przeanalizował opis przedmiotu zamówienia w SWZ oraz uzyskał przed 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Pr>
          <w:rFonts w:ascii="Cambria" w:hAnsi="Cambria" w:cs="Tahoma"/>
          <w:b/>
        </w:rPr>
        <w:t>fakturą końcową</w:t>
      </w:r>
      <w:r>
        <w:rPr>
          <w:rFonts w:ascii="Cambria" w:hAnsi="Cambria" w:cs="Tahoma"/>
          <w:bCs/>
        </w:rPr>
        <w:t xml:space="preserve">, </w:t>
      </w:r>
      <w:r>
        <w:rPr>
          <w:rFonts w:ascii="Cambria" w:hAnsi="Cambria" w:cs="Tahoma"/>
          <w:bCs/>
          <w:spacing w:val="-2"/>
        </w:rPr>
        <w:t>po zakończeniu całości świadczenia Wykonawcy zgodnie z harmonogramem robót.</w:t>
      </w:r>
    </w:p>
    <w:p w:rsidR="005C021E" w:rsidRDefault="003C7897">
      <w:pPr>
        <w:pStyle w:val="Standard"/>
        <w:widowControl w:val="0"/>
        <w:numPr>
          <w:ilvl w:val="2"/>
          <w:numId w:val="48"/>
        </w:numPr>
        <w:spacing w:line="276" w:lineRule="auto"/>
        <w:jc w:val="both"/>
      </w:pPr>
      <w:r>
        <w:rPr>
          <w:rFonts w:ascii="Cambria" w:hAnsi="Cambria" w:cs="†¯øw≥¸"/>
          <w:color w:val="000000"/>
        </w:rPr>
        <w:t xml:space="preserve">Płatność końcowa nastąpi na podstawie faktury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końcowego zadania, przelewem na konto bankowe Wykonawcy wskazane na fakturze.</w:t>
      </w:r>
    </w:p>
    <w:p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rsidR="005C021E" w:rsidRDefault="003C7897" w:rsidP="00C802AF">
      <w:pPr>
        <w:pStyle w:val="Standard"/>
        <w:widowControl w:val="0"/>
        <w:numPr>
          <w:ilvl w:val="2"/>
          <w:numId w:val="4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w:t>
      </w:r>
      <w:r w:rsidR="00C802AF">
        <w:rPr>
          <w:rFonts w:ascii="Cambria" w:eastAsia="Calibri" w:hAnsi="Cambria" w:cs="ArialNarrow"/>
          <w:color w:val="000000"/>
        </w:rPr>
        <w:t>następującymi dokumentami</w:t>
      </w:r>
      <w:r w:rsidR="00C802AF">
        <w:rPr>
          <w:rFonts w:ascii="Cambria" w:hAnsi="Cambria" w:cs="ArialNarrow"/>
          <w:color w:val="000000"/>
        </w:rPr>
        <w:t>:</w:t>
      </w:r>
    </w:p>
    <w:p w:rsidR="00C802AF" w:rsidRPr="00C802AF" w:rsidRDefault="00C802AF" w:rsidP="00B7015E">
      <w:pPr>
        <w:pStyle w:val="Akapitzlist"/>
        <w:numPr>
          <w:ilvl w:val="0"/>
          <w:numId w:val="81"/>
        </w:numPr>
        <w:tabs>
          <w:tab w:val="left" w:pos="360"/>
        </w:tabs>
        <w:spacing w:line="276" w:lineRule="auto"/>
        <w:jc w:val="both"/>
        <w:textAlignment w:val="auto"/>
        <w:rPr>
          <w:rFonts w:ascii="Cambria" w:hAnsi="Cambria"/>
        </w:rPr>
      </w:pPr>
      <w:r w:rsidRPr="00C802AF">
        <w:rPr>
          <w:rFonts w:ascii="Cambria" w:hAnsi="Cambria" w:cs="Arial"/>
          <w:color w:val="000000"/>
        </w:rPr>
        <w:lastRenderedPageBreak/>
        <w:t xml:space="preserve">Wykonawca jest zobowiązany przedłożyć najpóźniej na 7 dni przed terminem płatności należnego mu wynagrodzenia za odebrany przedmiot umowy, dowody dotyczące zapłaty wynagrodzenia Podwykonawcom lub dalszym podwykonawcom, za roboty stanowiące przedmiot odbioru końcowego. Dowody powinny potwierdzać brak zaległości Wykonawcy w uregulowaniu wszystkich wymagalnych wynagrodzeń Podwykonawców lub dalszych podwykonawców, wynikających z umów o podwykonawstwo. </w:t>
      </w:r>
      <w:r w:rsidRPr="00C802AF">
        <w:rPr>
          <w:rFonts w:ascii="Cambria" w:hAnsi="Cambria" w:cs="Arial"/>
          <w:b/>
          <w:color w:val="000000"/>
        </w:rPr>
        <w:t>Dowodami takimi są: kopie faktur  oraz potwierdzenia przelewu lub oświadczenia Podwykonawców lub dalszych podwykonawców o uregulowaniu wobec nich zobowiązań przez Wykonawcę wraz z zestawieniem wystawionych przez nich wymagalnych faktur. Niedostarczenie ww. dowodów traktowane będzie jako uchylanie się Wykonawcy od zapłaty wynagrodzenia przysługującego Podwykonawcy lub dalszemu podwykonawcy i uruchamia procedury przewidziane niniejszą umową oraz wstrzymanie odpowiedniej części wynagrodzenia.</w:t>
      </w:r>
    </w:p>
    <w:p w:rsidR="00C802AF" w:rsidRPr="00C802AF" w:rsidRDefault="00C802AF" w:rsidP="00B7015E">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uchylenia się Wykonawcy od zapłaty wynagrodzenia przysługującego podwykonawcy lub dalszemu podwykonawcy Zamawiający, przed dokonaniem bezpośredniej zapłaty podwykonawcy lub dalszemu podwykonawcy, wezwie Wykonawcę do złożenia pisemnych wyjaśnień dotyczących powodów wstrzymania zapłaty wynagrodzenia podwykonawcy z wyznaczeniem mu 7-dniowego terminu na ich złożenie;</w:t>
      </w:r>
    </w:p>
    <w:p w:rsidR="00C802AF" w:rsidRPr="00C802AF" w:rsidRDefault="00C802AF" w:rsidP="00B7015E">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istnienia zasadniczej wątpliwości co do wysokości należnej zapłaty lub podmiotu, któremu płatność się należy, Zamawiający składa do depozytu sądowego kwotę potrzebną na pokrycie wynagrodzenia podwykonawcy lub dalszego podwykonawcy;</w:t>
      </w:r>
    </w:p>
    <w:p w:rsidR="00C802AF" w:rsidRPr="00C802AF" w:rsidRDefault="00C802AF" w:rsidP="00B7015E">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 xml:space="preserve">Zamawiający jest zobowiązany zapłacić podwykonawcy lub dalszemu podwykonawcy należne wynagrodzenie (bez odsetek), jeżeli podwykonawca udokumentuje jego zasadność, a Wykonawca nie złoży w trybie określonym w pkt 2 wyjaśnień w sposób wystarczający wykazujących niezasadność bezpośredniej zapłaty. Bezpośrednia zapłata obejmuje wyłącznie należne wynagrodzenie bez odsetek należnych podwykonawcy; </w:t>
      </w:r>
    </w:p>
    <w:p w:rsidR="00C802AF" w:rsidRPr="00C802AF" w:rsidRDefault="00C802AF" w:rsidP="00B7015E">
      <w:pPr>
        <w:pStyle w:val="Akapitzlist"/>
        <w:numPr>
          <w:ilvl w:val="0"/>
          <w:numId w:val="81"/>
        </w:numPr>
        <w:tabs>
          <w:tab w:val="left" w:pos="360"/>
        </w:tabs>
        <w:spacing w:line="276" w:lineRule="auto"/>
        <w:jc w:val="both"/>
        <w:textAlignment w:val="auto"/>
        <w:rPr>
          <w:rFonts w:ascii="Cambria" w:hAnsi="Cambria"/>
        </w:rPr>
      </w:pPr>
      <w:r w:rsidRPr="00C802AF">
        <w:rPr>
          <w:rFonts w:ascii="Cambria" w:eastAsia="Calibri" w:hAnsi="Cambria" w:cs="Arial"/>
          <w:color w:val="000000"/>
        </w:rPr>
        <w:t>Wynagrodzenie, o którym mowa w pkt. 4,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r w:rsidRPr="00C802AF">
        <w:rPr>
          <w:rFonts w:ascii="Cambria" w:hAnsi="Cambria" w:cs="Arial"/>
          <w:color w:val="000000"/>
        </w:rPr>
        <w:t xml:space="preserve">  </w:t>
      </w:r>
    </w:p>
    <w:p w:rsidR="00C802AF" w:rsidRPr="004C0154" w:rsidRDefault="00C802AF" w:rsidP="00B7015E">
      <w:pPr>
        <w:pStyle w:val="Akapitzlist"/>
        <w:numPr>
          <w:ilvl w:val="0"/>
          <w:numId w:val="81"/>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zapłaty przez Zamawiającego wynagrodzenia podwykonawcy wykonującemu daną część przedmiotu umowy, Zamawiający zastrzega sobie prawo do dokonania potrącenia kwoty wypłaconej podwykonawcy z wynagrodzenia należnego Wykonawcy.</w:t>
      </w:r>
    </w:p>
    <w:p w:rsidR="005C021E" w:rsidRDefault="003C7897" w:rsidP="00B7015E">
      <w:pPr>
        <w:pStyle w:val="Standard"/>
        <w:numPr>
          <w:ilvl w:val="2"/>
          <w:numId w:val="82"/>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B7015E">
      <w:pPr>
        <w:pStyle w:val="Standard"/>
        <w:numPr>
          <w:ilvl w:val="0"/>
          <w:numId w:val="59"/>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w:t>
      </w:r>
      <w:r>
        <w:rPr>
          <w:rFonts w:ascii="Cambria" w:hAnsi="Cambria"/>
          <w:bCs/>
          <w:iCs/>
          <w:color w:val="000000"/>
        </w:rPr>
        <w:lastRenderedPageBreak/>
        <w:t xml:space="preserve">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5C021E" w:rsidRDefault="003C7897" w:rsidP="00B7015E">
      <w:pPr>
        <w:pStyle w:val="Standard"/>
        <w:numPr>
          <w:ilvl w:val="2"/>
          <w:numId w:val="82"/>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B7015E">
      <w:pPr>
        <w:pStyle w:val="Standard"/>
        <w:numPr>
          <w:ilvl w:val="0"/>
          <w:numId w:val="60"/>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xml:space="preserve">. W trakcie realizacji umowy Wykonawca może dokonać zmiany formy zabezpieczenia należytego wykonania umowy na </w:t>
      </w:r>
      <w:r>
        <w:rPr>
          <w:rFonts w:ascii="Cambria" w:eastAsia="Calibri" w:hAnsi="Cambria" w:cs="ArialNarrow"/>
          <w:color w:val="000000"/>
        </w:rPr>
        <w:lastRenderedPageBreak/>
        <w:t>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2" w:name="Bookmark1"/>
    </w:p>
    <w:bookmarkEnd w:id="2"/>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5C021E" w:rsidRDefault="005C021E">
      <w:pPr>
        <w:pStyle w:val="Standard"/>
        <w:widowControl w:val="0"/>
        <w:spacing w:line="276" w:lineRule="auto"/>
        <w:rPr>
          <w:rFonts w:ascii="Cambria" w:hAnsi="Cambria" w:cs="†¯øw≥¸"/>
          <w:b/>
          <w:color w:val="000000"/>
        </w:rPr>
      </w:pPr>
    </w:p>
    <w:p w:rsidR="005C021E" w:rsidRDefault="003C7897" w:rsidP="00B7015E">
      <w:pPr>
        <w:pStyle w:val="Standard"/>
        <w:widowControl w:val="0"/>
        <w:numPr>
          <w:ilvl w:val="0"/>
          <w:numId w:val="61"/>
        </w:numPr>
        <w:tabs>
          <w:tab w:val="left" w:pos="426"/>
        </w:tabs>
        <w:spacing w:line="276" w:lineRule="auto"/>
        <w:ind w:left="426" w:hanging="426"/>
        <w:jc w:val="both"/>
      </w:pPr>
      <w:r>
        <w:rPr>
          <w:rFonts w:ascii="Cambria" w:hAnsi="Cambria" w:cs="†¯øw≥¸"/>
          <w:color w:val="000000"/>
        </w:rPr>
        <w:t>Strony przewidują następujące odbiory:</w:t>
      </w:r>
    </w:p>
    <w:p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rsidR="005C021E" w:rsidRDefault="003C7897">
      <w:pPr>
        <w:pStyle w:val="Standard"/>
        <w:numPr>
          <w:ilvl w:val="0"/>
          <w:numId w:val="6"/>
        </w:numPr>
        <w:spacing w:line="276" w:lineRule="auto"/>
        <w:ind w:left="426" w:hanging="426"/>
        <w:jc w:val="both"/>
      </w:pPr>
      <w:r>
        <w:rPr>
          <w:rFonts w:ascii="Cambria" w:hAnsi="Cambria"/>
          <w:color w:val="000000"/>
        </w:rPr>
        <w:t>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w:t>
      </w:r>
    </w:p>
    <w:p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rsidR="005C021E" w:rsidRDefault="003C7897">
      <w:pPr>
        <w:pStyle w:val="Akapitzlist"/>
        <w:numPr>
          <w:ilvl w:val="0"/>
          <w:numId w:val="6"/>
        </w:numPr>
        <w:ind w:left="426" w:hanging="426"/>
      </w:pPr>
      <w:r>
        <w:rPr>
          <w:rFonts w:ascii="Cambria" w:hAnsi="Cambria" w:cs="†¯øw≥¸"/>
          <w:bCs/>
        </w:rPr>
        <w:lastRenderedPageBreak/>
        <w:t>Zamawiający zobowiązany jest do dokonania lub odmowy dokonania odbioru końcowego, w terminie 14 dni kalendarzowych od dnia rozpoczęcia tego odbioru.</w:t>
      </w:r>
    </w:p>
    <w:p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rsidR="005C021E" w:rsidRDefault="003C7897">
      <w:pPr>
        <w:pStyle w:val="Standard"/>
        <w:numPr>
          <w:ilvl w:val="1"/>
          <w:numId w:val="6"/>
        </w:numPr>
        <w:ind w:left="851" w:hanging="425"/>
        <w:jc w:val="both"/>
      </w:pPr>
      <w:r>
        <w:rPr>
          <w:rFonts w:ascii="Cambria" w:hAnsi="Cambria"/>
          <w:color w:val="000000"/>
        </w:rPr>
        <w:t>dokumentację powykonawczą, opisaną i skompletowaną w dwóch egzemplarzach,</w:t>
      </w:r>
    </w:p>
    <w:p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rsidR="005C021E" w:rsidRDefault="003C7897">
      <w:pPr>
        <w:pStyle w:val="Standard"/>
        <w:numPr>
          <w:ilvl w:val="1"/>
          <w:numId w:val="6"/>
        </w:numPr>
        <w:ind w:left="851" w:hanging="425"/>
        <w:jc w:val="both"/>
      </w:pPr>
      <w:r>
        <w:rPr>
          <w:rFonts w:ascii="Cambria" w:hAnsi="Cambria"/>
          <w:color w:val="000000"/>
        </w:rPr>
        <w:t>dokumenty (atesty, certyfikaty) potwierdzające, że wbudowane wyroby budowlane są zgodne z art. 10 ustawy Prawo budowlane (opisane i ostemplowane przez Kierownika robót),</w:t>
      </w:r>
    </w:p>
    <w:p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rsidR="005C021E" w:rsidRDefault="003C7897">
      <w:pPr>
        <w:pStyle w:val="Akapitzlist"/>
        <w:numPr>
          <w:ilvl w:val="0"/>
          <w:numId w:val="6"/>
        </w:numPr>
        <w:ind w:left="426" w:hanging="426"/>
        <w:jc w:val="both"/>
      </w:pPr>
      <w:r>
        <w:rPr>
          <w:rFonts w:ascii="Cambria" w:hAnsi="Cambria"/>
          <w:b/>
        </w:rPr>
        <w:t>Podczas odbioru końcowego stosowane będą następujące zasady: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Zamawiający stwierdzi wady istotne nie dokona odbioru i wyznaczy termin ich usunięcia;</w:t>
      </w:r>
    </w:p>
    <w:p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rsidR="005C021E" w:rsidRDefault="003C7897">
      <w:pPr>
        <w:pStyle w:val="Akapitzlist"/>
        <w:widowControl w:val="0"/>
        <w:numPr>
          <w:ilvl w:val="0"/>
          <w:numId w:val="6"/>
        </w:numPr>
        <w:spacing w:line="276" w:lineRule="auto"/>
        <w:ind w:left="425" w:hanging="425"/>
        <w:jc w:val="both"/>
      </w:pPr>
      <w:r>
        <w:rPr>
          <w:rFonts w:ascii="Cambria" w:hAnsi="Cambria" w:cs="†¯øw≥¸"/>
        </w:rPr>
        <w:t>W przypadku określonym, w ust. 8 pkt 1) terminem wykonania zamówienia przez wykonawcę -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B7015E">
      <w:pPr>
        <w:pStyle w:val="Akapitzlist"/>
        <w:widowControl w:val="0"/>
        <w:numPr>
          <w:ilvl w:val="0"/>
          <w:numId w:val="62"/>
        </w:numPr>
        <w:spacing w:line="276" w:lineRule="auto"/>
        <w:ind w:left="426" w:hanging="426"/>
        <w:jc w:val="both"/>
      </w:pPr>
      <w:r>
        <w:rPr>
          <w:rFonts w:ascii="Cambria" w:hAnsi="Cambria" w:cs="†¯øw≥¸"/>
        </w:rPr>
        <w:t>Strony przewidują kary umowne w następujących wypadkach i wysokościach:</w:t>
      </w:r>
    </w:p>
    <w:p w:rsidR="005C021E" w:rsidRDefault="003C7897" w:rsidP="00B7015E">
      <w:pPr>
        <w:pStyle w:val="Akapitzlist"/>
        <w:widowControl w:val="0"/>
        <w:numPr>
          <w:ilvl w:val="0"/>
          <w:numId w:val="63"/>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lastRenderedPageBreak/>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ustalonego w § 9 ust. 2 całościowego 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B7015E">
      <w:pPr>
        <w:pStyle w:val="Tekstpodstawowy2"/>
        <w:numPr>
          <w:ilvl w:val="0"/>
          <w:numId w:val="64"/>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lastRenderedPageBreak/>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t>Zmiany umowy</w:t>
      </w:r>
    </w:p>
    <w:p w:rsidR="005C021E" w:rsidRDefault="003C7897" w:rsidP="00B7015E">
      <w:pPr>
        <w:pStyle w:val="Akapitzlist"/>
        <w:widowControl w:val="0"/>
        <w:numPr>
          <w:ilvl w:val="0"/>
          <w:numId w:val="65"/>
        </w:numPr>
        <w:spacing w:line="276" w:lineRule="auto"/>
        <w:ind w:left="567" w:hanging="567"/>
        <w:jc w:val="both"/>
      </w:pPr>
      <w:r>
        <w:rPr>
          <w:rFonts w:ascii="Cambria" w:hAnsi="Cambria" w:cs="†¯øw≥¸"/>
          <w:color w:val="000000"/>
        </w:rPr>
        <w:t>Oprócz przypadków, o których mowa w art. 454 i 455 ustawy – Prawo zamówień publicznych i innych przypadków wskazanych w niniejszej umowie, Zamawiający dopuszcza możliwość wprowadzania zmiany umowy w stosunku do treści oferty, na podstawie której dokonano 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B7015E">
      <w:pPr>
        <w:pStyle w:val="Akapitzlist"/>
        <w:widowControl w:val="0"/>
        <w:numPr>
          <w:ilvl w:val="0"/>
          <w:numId w:val="66"/>
        </w:numPr>
        <w:spacing w:line="276" w:lineRule="auto"/>
        <w:ind w:left="993" w:hanging="426"/>
        <w:jc w:val="both"/>
      </w:pPr>
      <w:r>
        <w:rPr>
          <w:rFonts w:ascii="Cambria" w:hAnsi="Cambria" w:cs="†¯øw≥¸"/>
          <w:color w:val="000000"/>
        </w:rPr>
        <w:t>wystąpienia siły wyższej w rozumieniu § 1</w:t>
      </w:r>
      <w:r w:rsidR="00D12718">
        <w:rPr>
          <w:rFonts w:ascii="Cambria" w:hAnsi="Cambria" w:cs="†¯øw≥¸"/>
          <w:color w:val="000000"/>
        </w:rPr>
        <w:t>7</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B7015E">
      <w:pPr>
        <w:pStyle w:val="Akapitzlist"/>
        <w:widowControl w:val="0"/>
        <w:numPr>
          <w:ilvl w:val="0"/>
          <w:numId w:val="67"/>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D12718">
        <w:rPr>
          <w:rFonts w:ascii="Cambria" w:hAnsi="Cambria" w:cs="†¯øw≥¸"/>
        </w:rPr>
        <w:t>7</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B7015E">
      <w:pPr>
        <w:pStyle w:val="Akapitzlist"/>
        <w:widowControl w:val="0"/>
        <w:numPr>
          <w:ilvl w:val="0"/>
          <w:numId w:val="68"/>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 xml:space="preserve">Strona, która występuje z propozycją zmiany umowy, w oparciu o przedstawiony powyżej katalog zmian umowy zobowiązana jest do sporządzenia i uzasadnienia wniosku o taką </w:t>
      </w:r>
      <w:r>
        <w:rPr>
          <w:rFonts w:ascii="Cambria" w:hAnsi="Cambria" w:cs="†¯øw≥¸"/>
          <w:color w:val="000000"/>
        </w:rPr>
        <w:lastRenderedPageBreak/>
        <w:t>zmianę. Wszelkie zmiany umowy dla swej ważności wymagają formy pisemnej w postaci aneksu do umowy.</w:t>
      </w:r>
    </w:p>
    <w:p w:rsidR="005C021E" w:rsidRDefault="005C021E" w:rsidP="005D5F7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5D5F7E">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B7015E">
      <w:pPr>
        <w:pStyle w:val="Akapitzlist"/>
        <w:widowControl w:val="0"/>
        <w:numPr>
          <w:ilvl w:val="0"/>
          <w:numId w:val="69"/>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B7015E">
      <w:pPr>
        <w:pStyle w:val="Akapitzlist"/>
        <w:widowControl w:val="0"/>
        <w:numPr>
          <w:ilvl w:val="0"/>
          <w:numId w:val="70"/>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B7015E">
      <w:pPr>
        <w:pStyle w:val="Akapitzlist"/>
        <w:widowControl w:val="0"/>
        <w:numPr>
          <w:ilvl w:val="0"/>
          <w:numId w:val="71"/>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 xml:space="preserve">Zamawiający w razie odstąpienia od umowy z przyczyn, za które Wykonawca nie odpowiada, obowiązany jest do dokonania odbioru prac przerwanych oraz do zapłaty wynagrodzenia za </w:t>
      </w:r>
      <w:r>
        <w:rPr>
          <w:rFonts w:ascii="Cambria" w:hAnsi="Cambria" w:cs="†¯øw≥¸"/>
          <w:color w:val="000000"/>
        </w:rPr>
        <w:lastRenderedPageBreak/>
        <w:t>roboty, które zostały wykonane do dnia odstąpienia.</w:t>
      </w:r>
    </w:p>
    <w:p w:rsidR="00021A8D" w:rsidRPr="005D5F7E" w:rsidRDefault="003C7897" w:rsidP="005D5F7E">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rsidR="00021A8D" w:rsidRDefault="00021A8D">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5D5F7E">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B7015E">
      <w:pPr>
        <w:pStyle w:val="Akapitzlist"/>
        <w:widowControl w:val="0"/>
        <w:numPr>
          <w:ilvl w:val="0"/>
          <w:numId w:val="72"/>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w:t>
      </w:r>
      <w:r w:rsidR="005D5F7E">
        <w:rPr>
          <w:rFonts w:ascii="Cambria" w:hAnsi="Cambria"/>
          <w:b/>
          <w:color w:val="000000"/>
        </w:rPr>
        <w:t>8</w:t>
      </w:r>
      <w:r>
        <w:rPr>
          <w:rFonts w:ascii="Cambria" w:hAnsi="Cambria"/>
          <w:b/>
          <w:color w:val="000000"/>
        </w:rPr>
        <w:br/>
        <w:t>Ochrona danych osobowych</w:t>
      </w:r>
    </w:p>
    <w:p w:rsidR="005C021E" w:rsidRDefault="003C7897" w:rsidP="00B7015E">
      <w:pPr>
        <w:pStyle w:val="Akapitzlist"/>
        <w:numPr>
          <w:ilvl w:val="0"/>
          <w:numId w:val="73"/>
        </w:numPr>
        <w:spacing w:line="276" w:lineRule="auto"/>
        <w:ind w:left="426" w:hanging="426"/>
        <w:jc w:val="both"/>
      </w:pPr>
      <w:r>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 xml:space="preserve">W przypadku, gdy wykonanie obowiązków, o których mowa w art. 15 ust. 1-3 rozporządzenia 2016/679, wymagałoby niewspółmiernie dużego wysiłku, Zamawiający może żądać od </w:t>
      </w:r>
      <w:r>
        <w:rPr>
          <w:rFonts w:ascii="Cambria" w:hAnsi="Cambria"/>
        </w:rPr>
        <w:lastRenderedPageBreak/>
        <w:t>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5D5F7E">
        <w:rPr>
          <w:rFonts w:ascii="Cambria" w:hAnsi="Cambria" w:cs="Arial"/>
          <w:b/>
          <w:color w:val="000000"/>
        </w:rPr>
        <w:t>19</w:t>
      </w:r>
      <w:r w:rsidRPr="009B1C0C">
        <w:rPr>
          <w:rFonts w:ascii="Cambria" w:hAnsi="Cambria" w:cs="Arial"/>
          <w:b/>
          <w:color w:val="000000"/>
        </w:rPr>
        <w:t xml:space="preserve"> </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2. 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7. Dopuszczalna jest zmiana ilości pracowników wykonujących roboty budowlane na podstawie umowy o pracę zawartej z Wykonawcą i Podwykonawcą. Zmiana ilości pracowników wykonujących roboty budowlane skutkuje obowiązkiem doręczenia przez Wykonawcę </w:t>
      </w:r>
      <w:r w:rsidRPr="009B1C0C">
        <w:rPr>
          <w:rFonts w:ascii="Cambria" w:hAnsi="Cambria" w:cs="Arial"/>
          <w:color w:val="000000"/>
        </w:rPr>
        <w:lastRenderedPageBreak/>
        <w:t>Zamawiającemu w terminie 3 dni od zaistnienia zmiany aktualnego oświadczenia, o których mowa w ust. 2 i 3. Zmiana tego oświadczenia nie wymaga zawierania przez Strony aneksu do umowy.</w:t>
      </w:r>
    </w:p>
    <w:p w:rsidR="009B1C0C" w:rsidRPr="009B1C0C" w:rsidRDefault="009B1C0C" w:rsidP="009B1C0C">
      <w:pPr>
        <w:spacing w:after="160" w:line="276" w:lineRule="auto"/>
        <w:jc w:val="both"/>
        <w:textAlignment w:val="auto"/>
        <w:rPr>
          <w:rFonts w:ascii="Cambria" w:hAnsi="Cambria" w:cs="F"/>
        </w:rPr>
      </w:pPr>
      <w:r w:rsidRPr="009B1C0C">
        <w:rPr>
          <w:rFonts w:ascii="Cambria" w:hAnsi="Cambria" w:cs="Arial"/>
          <w:color w:val="000000"/>
        </w:rPr>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rsidR="009B1C0C" w:rsidRDefault="009B1C0C">
      <w:pPr>
        <w:pStyle w:val="Standard"/>
        <w:widowControl w:val="0"/>
        <w:jc w:val="center"/>
        <w:rPr>
          <w:rFonts w:ascii="Cambria" w:hAnsi="Cambria" w:cs="†¯øw≥¸"/>
          <w:b/>
          <w:color w:val="000000"/>
        </w:rPr>
      </w:pPr>
    </w:p>
    <w:p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5D5F7E">
        <w:rPr>
          <w:rFonts w:ascii="Cambria" w:hAnsi="Cambria" w:cs="†¯øw≥¸"/>
          <w:b/>
          <w:color w:val="000000"/>
        </w:rPr>
        <w:t>0</w:t>
      </w:r>
    </w:p>
    <w:p w:rsidR="005C021E" w:rsidRDefault="003C7897">
      <w:pPr>
        <w:pStyle w:val="Standard"/>
        <w:widowControl w:val="0"/>
        <w:jc w:val="center"/>
      </w:pPr>
      <w:r>
        <w:rPr>
          <w:rFonts w:ascii="Cambria" w:hAnsi="Cambria" w:cs="†¯øw≥¸"/>
          <w:b/>
          <w:color w:val="000000"/>
        </w:rPr>
        <w:t>Postanowienia końcowe</w:t>
      </w:r>
    </w:p>
    <w:p w:rsidR="005C021E" w:rsidRDefault="003C7897" w:rsidP="00B7015E">
      <w:pPr>
        <w:pStyle w:val="Akapitzlist"/>
        <w:widowControl w:val="0"/>
        <w:numPr>
          <w:ilvl w:val="0"/>
          <w:numId w:val="74"/>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Załącznikami do umowy są:</w:t>
      </w:r>
    </w:p>
    <w:p w:rsidR="005C021E" w:rsidRDefault="003C7897" w:rsidP="00B7015E">
      <w:pPr>
        <w:pStyle w:val="Akapitzlist"/>
        <w:widowControl w:val="0"/>
        <w:numPr>
          <w:ilvl w:val="0"/>
          <w:numId w:val="75"/>
        </w:numPr>
        <w:spacing w:line="276" w:lineRule="auto"/>
        <w:ind w:hanging="294"/>
      </w:pPr>
      <w:r>
        <w:rPr>
          <w:rFonts w:ascii="Cambria" w:hAnsi="Cambria" w:cs="†¯øw≥¸"/>
          <w:color w:val="000000"/>
        </w:rPr>
        <w:t>Formularz ofertowy – zał. Nr 1</w:t>
      </w:r>
    </w:p>
    <w:p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rsidR="005C021E" w:rsidRDefault="005C021E">
      <w:pPr>
        <w:pStyle w:val="Standard"/>
        <w:tabs>
          <w:tab w:val="left" w:pos="567"/>
        </w:tabs>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5D5F7E">
      <w:pPr>
        <w:pStyle w:val="Standard"/>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15E" w:rsidRDefault="00B7015E">
      <w:r>
        <w:separator/>
      </w:r>
    </w:p>
  </w:endnote>
  <w:endnote w:type="continuationSeparator" w:id="0">
    <w:p w:rsidR="00B7015E" w:rsidRDefault="00B70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882FD5">
      <w:rPr>
        <w:noProof/>
      </w:rPr>
      <w:t>19</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882FD5">
      <w:rPr>
        <w:noProof/>
      </w:rPr>
      <w:t>19</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15E" w:rsidRDefault="00B7015E">
      <w:r>
        <w:rPr>
          <w:color w:val="000000"/>
        </w:rPr>
        <w:separator/>
      </w:r>
    </w:p>
  </w:footnote>
  <w:footnote w:type="continuationSeparator" w:id="0">
    <w:p w:rsidR="00B7015E" w:rsidRDefault="00B70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B7769DFC"/>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CD26B2A6"/>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6DACE14E"/>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B46ADA8C"/>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91807578"/>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F55A0476"/>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F3DE0E5C"/>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F12A9ACA"/>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9A44B82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D49C262E"/>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24D8C04C"/>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63EE057C"/>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FAB0DDB"/>
    <w:multiLevelType w:val="multilevel"/>
    <w:tmpl w:val="F00491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52072781"/>
    <w:multiLevelType w:val="multilevel"/>
    <w:tmpl w:val="3CC490E2"/>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170E79"/>
    <w:multiLevelType w:val="multilevel"/>
    <w:tmpl w:val="F3326C30"/>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5682C2B"/>
    <w:multiLevelType w:val="multilevel"/>
    <w:tmpl w:val="F852EF6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40"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D01D3D"/>
    <w:multiLevelType w:val="multilevel"/>
    <w:tmpl w:val="4A8EBD40"/>
    <w:lvl w:ilvl="0">
      <w:start w:val="2"/>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5"/>
      <w:numFmt w:val="decimal"/>
      <w:lvlText w:val="%3."/>
      <w:lvlJc w:val="left"/>
      <w:pPr>
        <w:ind w:left="360" w:hanging="360"/>
      </w:pPr>
      <w:rPr>
        <w:rFonts w:hint="default"/>
        <w:b/>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2"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4"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7"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9"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50"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2"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6"/>
    <w:lvlOverride w:ilvl="0">
      <w:lvl w:ilvl="0">
        <w:start w:val="1"/>
        <w:numFmt w:val="decimal"/>
        <w:lvlText w:val="%1."/>
        <w:lvlJc w:val="left"/>
        <w:pPr>
          <w:ind w:left="720" w:hanging="360"/>
        </w:pPr>
        <w:rPr>
          <w:b w:val="0"/>
          <w:strike w:val="0"/>
          <w:dstrike w:val="0"/>
          <w:color w:val="000000"/>
        </w:rPr>
      </w:lvl>
    </w:lvlOverride>
  </w:num>
  <w:num w:numId="2">
    <w:abstractNumId w:val="36"/>
    <w:lvlOverride w:ilvl="0">
      <w:lvl w:ilvl="0">
        <w:start w:val="1"/>
        <w:numFmt w:val="decimal"/>
        <w:lvlText w:val="%1."/>
        <w:lvlJc w:val="left"/>
        <w:pPr>
          <w:ind w:left="720" w:hanging="360"/>
        </w:pPr>
        <w:rPr>
          <w:b w:val="0"/>
        </w:rPr>
      </w:lvl>
    </w:lvlOverride>
  </w:num>
  <w:num w:numId="3">
    <w:abstractNumId w:val="38"/>
    <w:lvlOverride w:ilvl="1">
      <w:lvl w:ilvl="1">
        <w:start w:val="1"/>
        <w:numFmt w:val="decimal"/>
        <w:lvlText w:val="%2."/>
        <w:lvlJc w:val="left"/>
        <w:pPr>
          <w:ind w:left="1440" w:hanging="360"/>
        </w:pPr>
        <w:rPr>
          <w:b w:val="0"/>
        </w:rPr>
      </w:lvl>
    </w:lvlOverride>
  </w:num>
  <w:num w:numId="4">
    <w:abstractNumId w:val="18"/>
  </w:num>
  <w:num w:numId="5">
    <w:abstractNumId w:val="32"/>
  </w:num>
  <w:num w:numId="6">
    <w:abstractNumId w:val="3"/>
    <w:lvlOverride w:ilvl="0">
      <w:lvl w:ilvl="0">
        <w:start w:val="1"/>
        <w:numFmt w:val="decimal"/>
        <w:lvlText w:val="%1."/>
        <w:lvlJc w:val="left"/>
        <w:pPr>
          <w:ind w:left="720" w:hanging="360"/>
        </w:pPr>
        <w:rPr>
          <w:b w:val="0"/>
        </w:rPr>
      </w:lvl>
    </w:lvlOverride>
  </w:num>
  <w:num w:numId="7">
    <w:abstractNumId w:val="22"/>
    <w:lvlOverride w:ilvl="0">
      <w:lvl w:ilvl="0">
        <w:start w:val="1"/>
        <w:numFmt w:val="decimal"/>
        <w:lvlText w:val="%1."/>
        <w:lvlJc w:val="left"/>
        <w:pPr>
          <w:ind w:left="720" w:hanging="360"/>
        </w:pPr>
        <w:rPr>
          <w:b w:val="0"/>
        </w:rPr>
      </w:lvl>
    </w:lvlOverride>
  </w:num>
  <w:num w:numId="8">
    <w:abstractNumId w:val="8"/>
  </w:num>
  <w:num w:numId="9">
    <w:abstractNumId w:val="15"/>
  </w:num>
  <w:num w:numId="10">
    <w:abstractNumId w:val="26"/>
  </w:num>
  <w:num w:numId="11">
    <w:abstractNumId w:val="17"/>
    <w:lvlOverride w:ilvl="0">
      <w:lvl w:ilvl="0">
        <w:start w:val="1"/>
        <w:numFmt w:val="decimal"/>
        <w:lvlText w:val="%1."/>
        <w:lvlJc w:val="left"/>
        <w:pPr>
          <w:ind w:left="720" w:hanging="360"/>
        </w:pPr>
        <w:rPr>
          <w:b w:val="0"/>
        </w:rPr>
      </w:lvl>
    </w:lvlOverride>
  </w:num>
  <w:num w:numId="12">
    <w:abstractNumId w:val="23"/>
  </w:num>
  <w:num w:numId="13">
    <w:abstractNumId w:val="50"/>
  </w:num>
  <w:num w:numId="14">
    <w:abstractNumId w:val="53"/>
  </w:num>
  <w:num w:numId="15">
    <w:abstractNumId w:val="27"/>
    <w:lvlOverride w:ilvl="0">
      <w:lvl w:ilvl="0">
        <w:start w:val="1"/>
        <w:numFmt w:val="decimal"/>
        <w:lvlText w:val="%1."/>
        <w:lvlJc w:val="left"/>
        <w:pPr>
          <w:ind w:left="720" w:hanging="360"/>
        </w:pPr>
        <w:rPr>
          <w:b w:val="0"/>
        </w:rPr>
      </w:lvl>
    </w:lvlOverride>
  </w:num>
  <w:num w:numId="16">
    <w:abstractNumId w:val="12"/>
    <w:lvlOverride w:ilvl="0">
      <w:lvl w:ilvl="0">
        <w:start w:val="1"/>
        <w:numFmt w:val="decimal"/>
        <w:lvlText w:val="%1."/>
        <w:lvlJc w:val="left"/>
        <w:pPr>
          <w:ind w:left="720" w:hanging="360"/>
        </w:pPr>
        <w:rPr>
          <w:b w:val="0"/>
        </w:rPr>
      </w:lvl>
    </w:lvlOverride>
  </w:num>
  <w:num w:numId="17">
    <w:abstractNumId w:val="31"/>
    <w:lvlOverride w:ilvl="0">
      <w:lvl w:ilvl="0">
        <w:start w:val="1"/>
        <w:numFmt w:val="decimal"/>
        <w:lvlText w:val="%1."/>
        <w:lvlJc w:val="left"/>
        <w:pPr>
          <w:ind w:left="720" w:hanging="360"/>
        </w:pPr>
        <w:rPr>
          <w:b w:val="0"/>
        </w:rPr>
      </w:lvl>
    </w:lvlOverride>
  </w:num>
  <w:num w:numId="18">
    <w:abstractNumId w:val="28"/>
    <w:lvlOverride w:ilvl="0">
      <w:lvl w:ilvl="0">
        <w:start w:val="1"/>
        <w:numFmt w:val="decimal"/>
        <w:lvlText w:val="%1."/>
        <w:lvlJc w:val="left"/>
        <w:pPr>
          <w:ind w:left="2340" w:hanging="360"/>
        </w:pPr>
        <w:rPr>
          <w:b w:val="0"/>
          <w:color w:val="000000"/>
        </w:rPr>
      </w:lvl>
    </w:lvlOverride>
  </w:num>
  <w:num w:numId="19">
    <w:abstractNumId w:val="1"/>
  </w:num>
  <w:num w:numId="20">
    <w:abstractNumId w:val="24"/>
  </w:num>
  <w:num w:numId="21">
    <w:abstractNumId w:val="29"/>
    <w:lvlOverride w:ilvl="0">
      <w:lvl w:ilvl="0">
        <w:start w:val="1"/>
        <w:numFmt w:val="decimal"/>
        <w:lvlText w:val="%1."/>
        <w:lvlJc w:val="left"/>
        <w:pPr>
          <w:ind w:left="720" w:hanging="360"/>
        </w:pPr>
        <w:rPr>
          <w:b w:val="0"/>
        </w:rPr>
      </w:lvl>
    </w:lvlOverride>
  </w:num>
  <w:num w:numId="22">
    <w:abstractNumId w:val="46"/>
  </w:num>
  <w:num w:numId="23">
    <w:abstractNumId w:val="20"/>
  </w:num>
  <w:num w:numId="24">
    <w:abstractNumId w:val="52"/>
  </w:num>
  <w:num w:numId="25">
    <w:abstractNumId w:val="19"/>
  </w:num>
  <w:num w:numId="26">
    <w:abstractNumId w:val="54"/>
  </w:num>
  <w:num w:numId="27">
    <w:abstractNumId w:val="25"/>
  </w:num>
  <w:num w:numId="28">
    <w:abstractNumId w:val="39"/>
  </w:num>
  <w:num w:numId="29">
    <w:abstractNumId w:val="49"/>
  </w:num>
  <w:num w:numId="30">
    <w:abstractNumId w:val="6"/>
    <w:lvlOverride w:ilvl="0">
      <w:lvl w:ilvl="0">
        <w:start w:val="1"/>
        <w:numFmt w:val="decimal"/>
        <w:lvlText w:val="%1."/>
        <w:lvlJc w:val="left"/>
        <w:pPr>
          <w:ind w:left="720" w:hanging="360"/>
        </w:pPr>
        <w:rPr>
          <w:b w:val="0"/>
        </w:rPr>
      </w:lvl>
    </w:lvlOverride>
  </w:num>
  <w:num w:numId="31">
    <w:abstractNumId w:val="0"/>
    <w:lvlOverride w:ilvl="2">
      <w:lvl w:ilvl="2">
        <w:start w:val="1"/>
        <w:numFmt w:val="lowerLetter"/>
        <w:lvlText w:val="%3)"/>
        <w:lvlJc w:val="left"/>
        <w:pPr>
          <w:ind w:left="2340" w:hanging="360"/>
        </w:pPr>
        <w:rPr>
          <w:b w:val="0"/>
        </w:rPr>
      </w:lvl>
    </w:lvlOverride>
  </w:num>
  <w:num w:numId="32">
    <w:abstractNumId w:val="45"/>
    <w:lvlOverride w:ilvl="2">
      <w:lvl w:ilvl="2">
        <w:start w:val="1"/>
        <w:numFmt w:val="lowerLetter"/>
        <w:lvlText w:val="%3)"/>
        <w:lvlJc w:val="left"/>
        <w:pPr>
          <w:ind w:left="720" w:hanging="360"/>
        </w:pPr>
      </w:lvl>
    </w:lvlOverride>
  </w:num>
  <w:num w:numId="33">
    <w:abstractNumId w:val="44"/>
  </w:num>
  <w:num w:numId="34">
    <w:abstractNumId w:val="51"/>
  </w:num>
  <w:num w:numId="35">
    <w:abstractNumId w:val="48"/>
  </w:num>
  <w:num w:numId="36">
    <w:abstractNumId w:val="2"/>
  </w:num>
  <w:num w:numId="37">
    <w:abstractNumId w:val="43"/>
  </w:num>
  <w:num w:numId="38">
    <w:abstractNumId w:val="14"/>
  </w:num>
  <w:num w:numId="39">
    <w:abstractNumId w:val="47"/>
  </w:num>
  <w:num w:numId="40">
    <w:abstractNumId w:val="9"/>
  </w:num>
  <w:num w:numId="41">
    <w:abstractNumId w:val="21"/>
  </w:num>
  <w:num w:numId="42">
    <w:abstractNumId w:val="5"/>
  </w:num>
  <w:num w:numId="43">
    <w:abstractNumId w:val="10"/>
    <w:lvlOverride w:ilvl="0">
      <w:lvl w:ilvl="0">
        <w:start w:val="1"/>
        <w:numFmt w:val="decimal"/>
        <w:lvlText w:val="%1."/>
        <w:lvlJc w:val="left"/>
        <w:pPr>
          <w:ind w:left="720" w:hanging="360"/>
        </w:pPr>
        <w:rPr>
          <w:b w:val="0"/>
          <w:i w:val="0"/>
          <w:color w:val="000000"/>
        </w:rPr>
      </w:lvl>
    </w:lvlOverride>
  </w:num>
  <w:num w:numId="44">
    <w:abstractNumId w:val="30"/>
  </w:num>
  <w:num w:numId="45">
    <w:abstractNumId w:val="11"/>
  </w:num>
  <w:num w:numId="46">
    <w:abstractNumId w:val="7"/>
  </w:num>
  <w:num w:numId="47">
    <w:abstractNumId w:val="13"/>
  </w:num>
  <w:num w:numId="48">
    <w:abstractNumId w:val="37"/>
    <w:lvlOverride w:ilvl="2">
      <w:lvl w:ilvl="2">
        <w:start w:val="1"/>
        <w:numFmt w:val="decimal"/>
        <w:lvlText w:val="%3."/>
        <w:lvlJc w:val="left"/>
        <w:pPr>
          <w:ind w:left="360" w:hanging="360"/>
        </w:pPr>
        <w:rPr>
          <w:b w:val="0"/>
        </w:rPr>
      </w:lvl>
    </w:lvlOverride>
  </w:num>
  <w:num w:numId="49">
    <w:abstractNumId w:val="4"/>
  </w:num>
  <w:num w:numId="50">
    <w:abstractNumId w:val="33"/>
  </w:num>
  <w:num w:numId="51">
    <w:abstractNumId w:val="16"/>
    <w:lvlOverride w:ilvl="0">
      <w:startOverride w:val="1"/>
      <w:lvl w:ilvl="0">
        <w:start w:val="1"/>
        <w:numFmt w:val="decimal"/>
        <w:lvlText w:val="%1."/>
        <w:lvlJc w:val="left"/>
        <w:pPr>
          <w:ind w:left="720" w:hanging="360"/>
        </w:pPr>
        <w:rPr>
          <w:b w:val="0"/>
          <w:strike w:val="0"/>
          <w:dstrike w:val="0"/>
          <w:color w:val="000000"/>
        </w:rPr>
      </w:lvl>
    </w:lvlOverride>
  </w:num>
  <w:num w:numId="52">
    <w:abstractNumId w:val="20"/>
    <w:lvlOverride w:ilvl="0">
      <w:startOverride w:val="1"/>
      <w:lvl w:ilvl="0">
        <w:start w:val="1"/>
        <w:numFmt w:val="decimal"/>
        <w:lvlText w:val="%1."/>
        <w:lvlJc w:val="left"/>
        <w:pPr>
          <w:ind w:left="720" w:hanging="360"/>
        </w:pPr>
        <w:rPr>
          <w:rFonts w:cs="Times New Roman"/>
          <w:b w:val="0"/>
        </w:rPr>
      </w:lvl>
    </w:lvlOverride>
  </w:num>
  <w:num w:numId="53">
    <w:abstractNumId w:val="2"/>
    <w:lvlOverride w:ilvl="0">
      <w:startOverride w:val="1"/>
    </w:lvlOverride>
  </w:num>
  <w:num w:numId="54">
    <w:abstractNumId w:val="48"/>
    <w:lvlOverride w:ilvl="0">
      <w:startOverride w:val="2"/>
    </w:lvlOverride>
  </w:num>
  <w:num w:numId="55">
    <w:abstractNumId w:val="6"/>
    <w:lvlOverride w:ilvl="0">
      <w:startOverride w:val="1"/>
    </w:lvlOverride>
  </w:num>
  <w:num w:numId="56">
    <w:abstractNumId w:val="18"/>
    <w:lvlOverride w:ilvl="0">
      <w:startOverride w:val="1"/>
    </w:lvlOverride>
  </w:num>
  <w:num w:numId="57">
    <w:abstractNumId w:val="32"/>
    <w:lvlOverride w:ilvl="0">
      <w:startOverride w:val="1"/>
    </w:lvlOverride>
  </w:num>
  <w:num w:numId="58">
    <w:abstractNumId w:val="10"/>
    <w:lvlOverride w:ilvl="0">
      <w:startOverride w:val="1"/>
    </w:lvlOverride>
  </w:num>
  <w:num w:numId="59">
    <w:abstractNumId w:val="33"/>
    <w:lvlOverride w:ilvl="0">
      <w:startOverride w:val="2"/>
    </w:lvlOverride>
  </w:num>
  <w:num w:numId="60">
    <w:abstractNumId w:val="22"/>
    <w:lvlOverride w:ilvl="0">
      <w:startOverride w:val="1"/>
    </w:lvlOverride>
  </w:num>
  <w:num w:numId="61">
    <w:abstractNumId w:val="3"/>
    <w:lvlOverride w:ilvl="0">
      <w:startOverride w:val="1"/>
    </w:lvlOverride>
  </w:num>
  <w:num w:numId="62">
    <w:abstractNumId w:val="31"/>
    <w:lvlOverride w:ilvl="0">
      <w:startOverride w:val="1"/>
    </w:lvlOverride>
  </w:num>
  <w:num w:numId="63">
    <w:abstractNumId w:val="24"/>
    <w:lvlOverride w:ilvl="0">
      <w:startOverride w:val="1"/>
    </w:lvlOverride>
  </w:num>
  <w:num w:numId="64">
    <w:abstractNumId w:val="5"/>
    <w:lvlOverride w:ilvl="0">
      <w:startOverride w:val="1"/>
    </w:lvlOverride>
  </w:num>
  <w:num w:numId="65">
    <w:abstractNumId w:val="28"/>
    <w:lvlOverride w:ilvl="0">
      <w:startOverride w:val="1"/>
    </w:lvlOverride>
  </w:num>
  <w:num w:numId="66">
    <w:abstractNumId w:val="8"/>
    <w:lvlOverride w:ilvl="0">
      <w:startOverride w:val="1"/>
    </w:lvlOverride>
  </w:num>
  <w:num w:numId="67">
    <w:abstractNumId w:val="26"/>
    <w:lvlOverride w:ilvl="0">
      <w:startOverride w:val="1"/>
    </w:lvlOverride>
  </w:num>
  <w:num w:numId="68">
    <w:abstractNumId w:val="54"/>
    <w:lvlOverride w:ilvl="0">
      <w:startOverride w:val="1"/>
    </w:lvlOverride>
  </w:num>
  <w:num w:numId="69">
    <w:abstractNumId w:val="17"/>
    <w:lvlOverride w:ilvl="0">
      <w:startOverride w:val="1"/>
    </w:lvlOverride>
  </w:num>
  <w:num w:numId="70">
    <w:abstractNumId w:val="50"/>
    <w:lvlOverride w:ilvl="0">
      <w:startOverride w:val="1"/>
    </w:lvlOverride>
  </w:num>
  <w:num w:numId="71">
    <w:abstractNumId w:val="53"/>
    <w:lvlOverride w:ilvl="0">
      <w:startOverride w:val="1"/>
    </w:lvlOverride>
  </w:num>
  <w:num w:numId="72">
    <w:abstractNumId w:val="27"/>
    <w:lvlOverride w:ilvl="0">
      <w:startOverride w:val="1"/>
    </w:lvlOverride>
  </w:num>
  <w:num w:numId="73">
    <w:abstractNumId w:val="29"/>
    <w:lvlOverride w:ilvl="0">
      <w:startOverride w:val="1"/>
    </w:lvlOverride>
  </w:num>
  <w:num w:numId="74">
    <w:abstractNumId w:val="12"/>
    <w:lvlOverride w:ilvl="0">
      <w:startOverride w:val="1"/>
    </w:lvlOverride>
  </w:num>
  <w:num w:numId="75">
    <w:abstractNumId w:val="1"/>
    <w:lvlOverride w:ilvl="0">
      <w:startOverride w:val="1"/>
    </w:lvlOverride>
  </w:num>
  <w:num w:numId="76">
    <w:abstractNumId w:val="35"/>
  </w:num>
  <w:num w:numId="77">
    <w:abstractNumId w:val="42"/>
  </w:num>
  <w:num w:numId="78">
    <w:abstractNumId w:val="40"/>
  </w:num>
  <w:num w:numId="79">
    <w:abstractNumId w:val="0"/>
  </w:num>
  <w:num w:numId="80">
    <w:abstractNumId w:val="45"/>
  </w:num>
  <w:num w:numId="81">
    <w:abstractNumId w:val="34"/>
  </w:num>
  <w:num w:numId="82">
    <w:abstractNumId w:val="41"/>
  </w:num>
  <w:num w:numId="83">
    <w:abstractNumId w:val="3"/>
  </w:num>
  <w:num w:numId="84">
    <w:abstractNumId w:val="6"/>
  </w:num>
  <w:num w:numId="85">
    <w:abstractNumId w:val="10"/>
  </w:num>
  <w:num w:numId="86">
    <w:abstractNumId w:val="12"/>
  </w:num>
  <w:num w:numId="87">
    <w:abstractNumId w:val="16"/>
  </w:num>
  <w:num w:numId="88">
    <w:abstractNumId w:val="17"/>
  </w:num>
  <w:num w:numId="89">
    <w:abstractNumId w:val="22"/>
  </w:num>
  <w:num w:numId="90">
    <w:abstractNumId w:val="27"/>
  </w:num>
  <w:num w:numId="91">
    <w:abstractNumId w:val="28"/>
  </w:num>
  <w:num w:numId="92">
    <w:abstractNumId w:val="29"/>
  </w:num>
  <w:num w:numId="93">
    <w:abstractNumId w:val="31"/>
  </w:num>
  <w:num w:numId="94">
    <w:abstractNumId w:val="36"/>
  </w:num>
  <w:num w:numId="95">
    <w:abstractNumId w:val="37"/>
  </w:num>
  <w:num w:numId="96">
    <w:abstractNumId w:val="3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21A8D"/>
    <w:rsid w:val="000528F6"/>
    <w:rsid w:val="000863CA"/>
    <w:rsid w:val="000E569E"/>
    <w:rsid w:val="000F52EC"/>
    <w:rsid w:val="00147B35"/>
    <w:rsid w:val="00150A0F"/>
    <w:rsid w:val="0017731E"/>
    <w:rsid w:val="001A56D6"/>
    <w:rsid w:val="001D3627"/>
    <w:rsid w:val="002412A5"/>
    <w:rsid w:val="002713B4"/>
    <w:rsid w:val="002E2AF3"/>
    <w:rsid w:val="002E6E80"/>
    <w:rsid w:val="003C7897"/>
    <w:rsid w:val="003E0FE6"/>
    <w:rsid w:val="00402151"/>
    <w:rsid w:val="00430EF2"/>
    <w:rsid w:val="00473AE8"/>
    <w:rsid w:val="00484FCE"/>
    <w:rsid w:val="004C0154"/>
    <w:rsid w:val="004E6C01"/>
    <w:rsid w:val="0056553A"/>
    <w:rsid w:val="005836FF"/>
    <w:rsid w:val="00584375"/>
    <w:rsid w:val="005C021E"/>
    <w:rsid w:val="005D5F7E"/>
    <w:rsid w:val="00685685"/>
    <w:rsid w:val="006F092C"/>
    <w:rsid w:val="007463EC"/>
    <w:rsid w:val="007C6070"/>
    <w:rsid w:val="007D37DB"/>
    <w:rsid w:val="007E6C24"/>
    <w:rsid w:val="008442E0"/>
    <w:rsid w:val="008446B1"/>
    <w:rsid w:val="00865EE5"/>
    <w:rsid w:val="00882FD5"/>
    <w:rsid w:val="008F549A"/>
    <w:rsid w:val="0091124A"/>
    <w:rsid w:val="00915A4E"/>
    <w:rsid w:val="00927A13"/>
    <w:rsid w:val="0093277D"/>
    <w:rsid w:val="009345CA"/>
    <w:rsid w:val="0097269B"/>
    <w:rsid w:val="009B1C0C"/>
    <w:rsid w:val="00A60499"/>
    <w:rsid w:val="00A77897"/>
    <w:rsid w:val="00AD2B5B"/>
    <w:rsid w:val="00B35D15"/>
    <w:rsid w:val="00B6603B"/>
    <w:rsid w:val="00B7015E"/>
    <w:rsid w:val="00B92394"/>
    <w:rsid w:val="00BE1CED"/>
    <w:rsid w:val="00C802AF"/>
    <w:rsid w:val="00D12718"/>
    <w:rsid w:val="00DD4C91"/>
    <w:rsid w:val="00DD73A7"/>
    <w:rsid w:val="00DE14CC"/>
    <w:rsid w:val="00E1187A"/>
    <w:rsid w:val="00E678C9"/>
    <w:rsid w:val="00EA0856"/>
    <w:rsid w:val="00FC0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87"/>
      </w:numPr>
    </w:pPr>
  </w:style>
  <w:style w:type="numbering" w:customStyle="1" w:styleId="WWNum2">
    <w:name w:val="WWNum2"/>
    <w:basedOn w:val="Bezlisty"/>
    <w:pPr>
      <w:numPr>
        <w:numId w:val="94"/>
      </w:numPr>
    </w:pPr>
  </w:style>
  <w:style w:type="numbering" w:customStyle="1" w:styleId="WWNum3">
    <w:name w:val="WWNum3"/>
    <w:basedOn w:val="Bezlisty"/>
    <w:pPr>
      <w:numPr>
        <w:numId w:val="96"/>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83"/>
      </w:numPr>
    </w:pPr>
  </w:style>
  <w:style w:type="numbering" w:customStyle="1" w:styleId="WWNum7">
    <w:name w:val="WWNum7"/>
    <w:basedOn w:val="Bezlisty"/>
    <w:pPr>
      <w:numPr>
        <w:numId w:val="89"/>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88"/>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90"/>
      </w:numPr>
    </w:pPr>
  </w:style>
  <w:style w:type="numbering" w:customStyle="1" w:styleId="WWNum16">
    <w:name w:val="WWNum16"/>
    <w:basedOn w:val="Bezlisty"/>
    <w:pPr>
      <w:numPr>
        <w:numId w:val="86"/>
      </w:numPr>
    </w:pPr>
  </w:style>
  <w:style w:type="numbering" w:customStyle="1" w:styleId="WWNum17">
    <w:name w:val="WWNum17"/>
    <w:basedOn w:val="Bezlisty"/>
    <w:pPr>
      <w:numPr>
        <w:numId w:val="93"/>
      </w:numPr>
    </w:pPr>
  </w:style>
  <w:style w:type="numbering" w:customStyle="1" w:styleId="WWNum18">
    <w:name w:val="WWNum18"/>
    <w:basedOn w:val="Bezlisty"/>
    <w:pPr>
      <w:numPr>
        <w:numId w:val="91"/>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92"/>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84"/>
      </w:numPr>
    </w:pPr>
  </w:style>
  <w:style w:type="numbering" w:customStyle="1" w:styleId="WWNum31">
    <w:name w:val="WWNum31"/>
    <w:basedOn w:val="Bezlisty"/>
    <w:pPr>
      <w:numPr>
        <w:numId w:val="79"/>
      </w:numPr>
    </w:pPr>
  </w:style>
  <w:style w:type="numbering" w:customStyle="1" w:styleId="WWNum32">
    <w:name w:val="WWNum32"/>
    <w:basedOn w:val="Bezlisty"/>
    <w:pPr>
      <w:numPr>
        <w:numId w:val="80"/>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85"/>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95"/>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7241</Words>
  <Characters>43449</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12</cp:revision>
  <cp:lastPrinted>2021-08-11T10:36:00Z</cp:lastPrinted>
  <dcterms:created xsi:type="dcterms:W3CDTF">2024-07-03T07:22:00Z</dcterms:created>
  <dcterms:modified xsi:type="dcterms:W3CDTF">2024-07-03T08:19:00Z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