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72193" w:rsidRPr="001D4E78" w:rsidRDefault="00B72193" w:rsidP="001D4E78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</w:t>
      </w:r>
      <w:r w:rsidR="00B14B3E" w:rsidRPr="00B961BA">
        <w:rPr>
          <w:rFonts w:cs="Times New Roman"/>
          <w:b/>
          <w:color w:val="auto"/>
          <w:sz w:val="22"/>
          <w:szCs w:val="22"/>
        </w:rPr>
        <w:t>.:</w:t>
      </w:r>
      <w:r w:rsidR="001D4E78" w:rsidRPr="001D4E78">
        <w:t xml:space="preserve"> </w:t>
      </w:r>
      <w:r w:rsidR="00966D3A">
        <w:rPr>
          <w:rFonts w:cs="Times New Roman"/>
          <w:b/>
          <w:color w:val="auto"/>
          <w:sz w:val="22"/>
          <w:szCs w:val="22"/>
        </w:rPr>
        <w:t xml:space="preserve">dostawa </w:t>
      </w:r>
      <w:r w:rsidR="00EF4CCB">
        <w:rPr>
          <w:rFonts w:cs="Times New Roman"/>
          <w:b/>
          <w:color w:val="auto"/>
          <w:sz w:val="22"/>
          <w:szCs w:val="22"/>
        </w:rPr>
        <w:t>technicznych środków materiałowych oraz źródeł zasilania do radiotelefonów</w:t>
      </w:r>
      <w:bookmarkStart w:id="0" w:name="_GoBack"/>
      <w:bookmarkEnd w:id="0"/>
      <w:r w:rsidRPr="001D4E78">
        <w:rPr>
          <w:rFonts w:cs="Times New Roman"/>
          <w:color w:val="auto"/>
          <w:szCs w:val="22"/>
        </w:rPr>
        <w:t xml:space="preserve"> </w:t>
      </w:r>
      <w:r w:rsidRPr="001D4E78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 zadania, nie krócej niż przez 4 lat od dnia zakończenia procedury o udzielenie tego zamówienia;</w:t>
      </w:r>
    </w:p>
    <w:p w:rsidR="00B72193" w:rsidRPr="00E61DC9" w:rsidRDefault="00B72193" w:rsidP="004C5617">
      <w:pPr>
        <w:numPr>
          <w:ilvl w:val="0"/>
          <w:numId w:val="1"/>
        </w:numPr>
        <w:spacing w:after="150"/>
        <w:ind w:hanging="436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49" w:rsidRDefault="00476149" w:rsidP="00B72193">
      <w:r>
        <w:separator/>
      </w:r>
    </w:p>
  </w:endnote>
  <w:endnote w:type="continuationSeparator" w:id="0">
    <w:p w:rsidR="00476149" w:rsidRDefault="00476149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49" w:rsidRDefault="00476149" w:rsidP="00B72193">
      <w:r>
        <w:separator/>
      </w:r>
    </w:p>
  </w:footnote>
  <w:footnote w:type="continuationSeparator" w:id="0">
    <w:p w:rsidR="00476149" w:rsidRDefault="00476149" w:rsidP="00B7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093E26"/>
    <w:rsid w:val="000C5FF5"/>
    <w:rsid w:val="001821F3"/>
    <w:rsid w:val="00192395"/>
    <w:rsid w:val="001C6323"/>
    <w:rsid w:val="001D4E78"/>
    <w:rsid w:val="002F442C"/>
    <w:rsid w:val="00412C2C"/>
    <w:rsid w:val="0041527B"/>
    <w:rsid w:val="00476149"/>
    <w:rsid w:val="00476943"/>
    <w:rsid w:val="004B2806"/>
    <w:rsid w:val="004C5617"/>
    <w:rsid w:val="00575F24"/>
    <w:rsid w:val="00580960"/>
    <w:rsid w:val="005D22F1"/>
    <w:rsid w:val="006230B4"/>
    <w:rsid w:val="007A7720"/>
    <w:rsid w:val="00807C23"/>
    <w:rsid w:val="00812919"/>
    <w:rsid w:val="00832801"/>
    <w:rsid w:val="00833798"/>
    <w:rsid w:val="008C6CB9"/>
    <w:rsid w:val="008F414A"/>
    <w:rsid w:val="00905D42"/>
    <w:rsid w:val="00927AE9"/>
    <w:rsid w:val="00966D3A"/>
    <w:rsid w:val="00B14B3E"/>
    <w:rsid w:val="00B24735"/>
    <w:rsid w:val="00B72193"/>
    <w:rsid w:val="00B8416C"/>
    <w:rsid w:val="00B961BA"/>
    <w:rsid w:val="00BE1F7A"/>
    <w:rsid w:val="00BF301E"/>
    <w:rsid w:val="00C151B5"/>
    <w:rsid w:val="00D37FEC"/>
    <w:rsid w:val="00D53A84"/>
    <w:rsid w:val="00DD12F8"/>
    <w:rsid w:val="00EE2563"/>
    <w:rsid w:val="00EF4CCB"/>
    <w:rsid w:val="00F0129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C1C59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7B2C-3F9F-4A12-B869-1A1FB0BD5A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1AD8D3-CA5C-4C4A-A769-A380C411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Dacka Julia</cp:lastModifiedBy>
  <cp:revision>20</cp:revision>
  <dcterms:created xsi:type="dcterms:W3CDTF">2024-04-02T08:15:00Z</dcterms:created>
  <dcterms:modified xsi:type="dcterms:W3CDTF">2025-04-30T10:20:00Z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10.80.30.192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