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52C3" w14:textId="77777777" w:rsidR="00EE6D0C" w:rsidRPr="00A47556" w:rsidRDefault="00EE6D0C" w:rsidP="004C1B88">
      <w:pPr>
        <w:pStyle w:val="Zawartotabeli"/>
      </w:pPr>
    </w:p>
    <w:p w14:paraId="3734AACF"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840F4A" w:rsidRDefault="00EE6D0C" w:rsidP="00EE6D0C">
      <w:pPr>
        <w:widowControl w:val="0"/>
        <w:spacing w:line="276" w:lineRule="auto"/>
        <w:jc w:val="center"/>
        <w:rPr>
          <w:b/>
          <w:bCs/>
          <w:color w:val="000000"/>
          <w:sz w:val="28"/>
          <w:szCs w:val="28"/>
        </w:rPr>
      </w:pPr>
    </w:p>
    <w:p w14:paraId="7770F6DF" w14:textId="77777777" w:rsidR="007A5089" w:rsidRPr="007A5089" w:rsidRDefault="007A5089" w:rsidP="007A5089">
      <w:pPr>
        <w:pStyle w:val="Nagwek"/>
        <w:spacing w:line="276" w:lineRule="auto"/>
        <w:jc w:val="center"/>
        <w:rPr>
          <w:rFonts w:eastAsiaTheme="minorHAnsi"/>
          <w:b/>
          <w:bCs/>
          <w:color w:val="000000"/>
          <w:sz w:val="28"/>
          <w:szCs w:val="28"/>
          <w:lang w:eastAsia="en-US"/>
        </w:rPr>
      </w:pPr>
    </w:p>
    <w:p w14:paraId="610086CD" w14:textId="263C5D5F" w:rsidR="005F44E2" w:rsidRDefault="007A5089" w:rsidP="007A5089">
      <w:pPr>
        <w:pStyle w:val="Nagwek"/>
        <w:spacing w:line="276" w:lineRule="auto"/>
        <w:jc w:val="center"/>
        <w:rPr>
          <w:i/>
          <w:sz w:val="28"/>
          <w:szCs w:val="16"/>
        </w:rPr>
      </w:pPr>
      <w:r w:rsidRPr="007A5089">
        <w:rPr>
          <w:rFonts w:eastAsiaTheme="minorHAnsi"/>
          <w:b/>
          <w:bCs/>
          <w:color w:val="000000"/>
          <w:sz w:val="28"/>
          <w:szCs w:val="28"/>
          <w:lang w:eastAsia="en-US"/>
        </w:rPr>
        <w:t>PRZEBUDOWA LOKALU MIESZKALNEGO W CELU WYDZIELENIA DWÓCH LOKALI MIESZKALNYCH W TYM JEDEN JAKO</w:t>
      </w:r>
      <w:r>
        <w:rPr>
          <w:rFonts w:eastAsiaTheme="minorHAnsi"/>
          <w:b/>
          <w:bCs/>
          <w:color w:val="000000"/>
          <w:sz w:val="28"/>
          <w:szCs w:val="28"/>
          <w:lang w:eastAsia="en-US"/>
        </w:rPr>
        <w:t xml:space="preserve"> </w:t>
      </w:r>
      <w:r w:rsidRPr="007A5089">
        <w:rPr>
          <w:rFonts w:eastAsiaTheme="minorHAnsi"/>
          <w:b/>
          <w:bCs/>
          <w:color w:val="000000"/>
          <w:sz w:val="28"/>
          <w:szCs w:val="28"/>
          <w:lang w:eastAsia="en-US"/>
        </w:rPr>
        <w:t>LOKAL WSPOMAGANY DLA OSOBY Z NIEPEŁNOSPRAWNOŚCIĄ</w:t>
      </w: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7AD699C1" w14:textId="77777777" w:rsidR="00E36046" w:rsidRDefault="00E36046" w:rsidP="00EE6D0C">
      <w:pPr>
        <w:pStyle w:val="Nagwek"/>
        <w:spacing w:line="276" w:lineRule="auto"/>
        <w:rPr>
          <w:sz w:val="24"/>
          <w:szCs w:val="24"/>
        </w:rPr>
      </w:pPr>
    </w:p>
    <w:p w14:paraId="3A19BA3F" w14:textId="77777777" w:rsidR="00E36046" w:rsidRDefault="00E36046" w:rsidP="00EE6D0C">
      <w:pPr>
        <w:pStyle w:val="Nagwek"/>
        <w:spacing w:line="276" w:lineRule="auto"/>
        <w:rPr>
          <w:sz w:val="24"/>
          <w:szCs w:val="24"/>
        </w:rPr>
      </w:pPr>
    </w:p>
    <w:p w14:paraId="225B4D69" w14:textId="77777777" w:rsidR="00E36046" w:rsidRDefault="00E36046" w:rsidP="00EE6D0C">
      <w:pPr>
        <w:pStyle w:val="Nagwek"/>
        <w:spacing w:line="276" w:lineRule="auto"/>
        <w:rPr>
          <w:sz w:val="24"/>
          <w:szCs w:val="24"/>
        </w:rPr>
      </w:pPr>
    </w:p>
    <w:p w14:paraId="03DFB1E4" w14:textId="77777777" w:rsidR="00E36046" w:rsidRDefault="00E36046"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0C8CF610"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840F4A">
        <w:t>2</w:t>
      </w:r>
      <w:r w:rsidR="004D486B">
        <w:t>4</w:t>
      </w:r>
      <w:r w:rsidR="007D088E">
        <w:t xml:space="preserve"> </w:t>
      </w:r>
      <w:r w:rsidRPr="00040109">
        <w:t xml:space="preserve">poz. </w:t>
      </w:r>
      <w:r w:rsidR="004D486B">
        <w:t>1320</w:t>
      </w:r>
      <w:r w:rsidRPr="00040109">
        <w:t xml:space="preserve">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467FFAE3"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840F4A">
        <w:t xml:space="preserve">rozbiórkowe, prace </w:t>
      </w:r>
      <w:r w:rsidR="00A92416">
        <w:t>wykończeniowe</w:t>
      </w:r>
      <w:r w:rsidR="00840F4A">
        <w:t>.</w:t>
      </w:r>
    </w:p>
    <w:p w14:paraId="7C0D11D4" w14:textId="512214F9"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36C8AA89" w:rsidR="00361279" w:rsidRDefault="000E49FE" w:rsidP="000E49FE">
      <w:pPr>
        <w:spacing w:line="276" w:lineRule="auto"/>
        <w:jc w:val="both"/>
        <w:rPr>
          <w:sz w:val="24"/>
        </w:rPr>
      </w:pPr>
      <w:r w:rsidRPr="00040109">
        <w:rPr>
          <w:sz w:val="24"/>
        </w:rPr>
        <w:t xml:space="preserve">– spełnia warunki udziału w postępowaniu,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lastRenderedPageBreak/>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lastRenderedPageBreak/>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w:t>
      </w:r>
      <w:r w:rsidRPr="00A6046A">
        <w:rPr>
          <w:sz w:val="24"/>
        </w:rPr>
        <w:lastRenderedPageBreak/>
        <w:t xml:space="preserve">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0D46EF06"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34748">
        <w:rPr>
          <w:sz w:val="24"/>
          <w:szCs w:val="24"/>
        </w:rPr>
        <w:t>„</w:t>
      </w:r>
      <w:r w:rsidR="00E36046" w:rsidRPr="00E36046">
        <w:rPr>
          <w:i/>
          <w:sz w:val="24"/>
          <w:szCs w:val="24"/>
        </w:rPr>
        <w:t>przebudowa lokalu mieszkalnego w celu wydzielenia dwóch lokali mieszkalnych w tym jeden jako</w:t>
      </w:r>
      <w:r w:rsidR="00E36046" w:rsidRPr="00E36046">
        <w:rPr>
          <w:i/>
          <w:sz w:val="24"/>
          <w:szCs w:val="24"/>
        </w:rPr>
        <w:t xml:space="preserve"> </w:t>
      </w:r>
      <w:r w:rsidR="00E36046" w:rsidRPr="00E36046">
        <w:rPr>
          <w:i/>
          <w:sz w:val="24"/>
          <w:szCs w:val="24"/>
        </w:rPr>
        <w:t>lokal wspomagany dla osoby z niepełnosprawnością</w:t>
      </w:r>
      <w:r w:rsidR="00043A53">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r w:rsidRPr="00C52AB4">
        <w:rPr>
          <w:sz w:val="24"/>
        </w:rPr>
        <w:lastRenderedPageBreak/>
        <w:t xml:space="preserve">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w:t>
      </w:r>
      <w:r w:rsidRPr="00065E8D">
        <w:rPr>
          <w:sz w:val="24"/>
          <w:szCs w:val="24"/>
        </w:rPr>
        <w:lastRenderedPageBreak/>
        <w:t xml:space="preserve">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lastRenderedPageBreak/>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2030570C"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w:t>
      </w:r>
      <w:r w:rsidR="00840F4A">
        <w:rPr>
          <w:rFonts w:ascii="Times New Roman" w:eastAsia="Times New Roman" w:hAnsi="Times New Roman" w:cs="Times New Roman"/>
          <w:lang w:eastAsia="pl-PL"/>
        </w:rPr>
        <w:t>23</w:t>
      </w:r>
      <w:r w:rsidRPr="00B07790">
        <w:rPr>
          <w:rFonts w:ascii="Times New Roman" w:eastAsia="Times New Roman" w:hAnsi="Times New Roman" w:cs="Times New Roman"/>
          <w:lang w:eastAsia="pl-PL"/>
        </w:rPr>
        <w:t xml:space="preserve">r. poz. </w:t>
      </w:r>
      <w:r w:rsidR="00840F4A">
        <w:rPr>
          <w:rFonts w:ascii="Times New Roman" w:eastAsia="Times New Roman" w:hAnsi="Times New Roman" w:cs="Times New Roman"/>
          <w:lang w:eastAsia="pl-PL"/>
        </w:rPr>
        <w:t>1605</w:t>
      </w:r>
      <w:r w:rsidR="00DC7E8C">
        <w:rPr>
          <w:rFonts w:ascii="Times New Roman" w:eastAsia="Times New Roman" w:hAnsi="Times New Roman" w:cs="Times New Roman"/>
          <w:lang w:eastAsia="pl-PL"/>
        </w:rPr>
        <w:t xml:space="preserve">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54E2BC1E"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DC1172">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200E77D1" w14:textId="5722C9DD" w:rsidR="00E36046" w:rsidRPr="00040478" w:rsidRDefault="00D76D54" w:rsidP="00E36046">
      <w:pPr>
        <w:pStyle w:val="Default"/>
        <w:rPr>
          <w:rFonts w:ascii="Times New Roman" w:hAnsi="Times New Roman" w:cs="Times New Roman"/>
        </w:rPr>
      </w:pPr>
      <w:r w:rsidRPr="00B97295">
        <w:rPr>
          <w:rFonts w:ascii="Times New Roman" w:hAnsi="Times New Roman" w:cs="Times New Roman"/>
          <w:szCs w:val="22"/>
        </w:rPr>
        <w:t xml:space="preserve">1. </w:t>
      </w:r>
      <w:r w:rsidR="00351247" w:rsidRPr="00040478">
        <w:rPr>
          <w:rFonts w:ascii="Times New Roman" w:hAnsi="Times New Roman" w:cs="Times New Roman"/>
          <w:szCs w:val="22"/>
        </w:rPr>
        <w:t xml:space="preserve">Przedmiotem zamówienia </w:t>
      </w:r>
      <w:r w:rsidR="00351247" w:rsidRPr="00040478">
        <w:rPr>
          <w:rFonts w:ascii="Times New Roman" w:hAnsi="Times New Roman" w:cs="Times New Roman"/>
        </w:rPr>
        <w:t>jest</w:t>
      </w:r>
      <w:r w:rsidR="00E36046" w:rsidRPr="00040478">
        <w:rPr>
          <w:rFonts w:ascii="Times New Roman" w:hAnsi="Times New Roman" w:cs="Times New Roman"/>
        </w:rPr>
        <w:t xml:space="preserve"> </w:t>
      </w:r>
      <w:r w:rsidR="00E36046" w:rsidRPr="00040478">
        <w:rPr>
          <w:rFonts w:ascii="Times New Roman" w:hAnsi="Times New Roman" w:cs="Times New Roman"/>
        </w:rPr>
        <w:t>przebudowa</w:t>
      </w:r>
      <w:r w:rsidR="00E36046" w:rsidRPr="00040478">
        <w:rPr>
          <w:rFonts w:ascii="Times New Roman" w:hAnsi="Times New Roman" w:cs="Times New Roman"/>
        </w:rPr>
        <w:t xml:space="preserve"> </w:t>
      </w:r>
      <w:r w:rsidR="00E36046" w:rsidRPr="00040478">
        <w:rPr>
          <w:rFonts w:ascii="Times New Roman" w:hAnsi="Times New Roman" w:cs="Times New Roman"/>
        </w:rPr>
        <w:t>lokalu mieszkalnego polega</w:t>
      </w:r>
      <w:r w:rsidR="00E36046" w:rsidRPr="00040478">
        <w:rPr>
          <w:rFonts w:ascii="Times New Roman" w:hAnsi="Times New Roman" w:cs="Times New Roman"/>
        </w:rPr>
        <w:t>jąca</w:t>
      </w:r>
      <w:r w:rsidR="00E36046" w:rsidRPr="00040478">
        <w:rPr>
          <w:rFonts w:ascii="Times New Roman" w:hAnsi="Times New Roman" w:cs="Times New Roman"/>
        </w:rPr>
        <w:t xml:space="preserve"> na przebudowie istniejącego układu ścian</w:t>
      </w:r>
      <w:r w:rsidR="00040478" w:rsidRPr="00040478">
        <w:rPr>
          <w:rFonts w:ascii="Times New Roman" w:hAnsi="Times New Roman" w:cs="Times New Roman"/>
        </w:rPr>
        <w:t xml:space="preserve"> </w:t>
      </w:r>
      <w:r w:rsidR="00E36046" w:rsidRPr="00040478">
        <w:rPr>
          <w:rFonts w:ascii="Times New Roman" w:hAnsi="Times New Roman" w:cs="Times New Roman"/>
        </w:rPr>
        <w:t>wewnętrznych, wewnętrznych instalacji wodnych, wykonaniu nowych instalacji kanalizacyjnych</w:t>
      </w:r>
      <w:r w:rsidR="00040478" w:rsidRPr="00040478">
        <w:rPr>
          <w:rFonts w:ascii="Times New Roman" w:hAnsi="Times New Roman" w:cs="Times New Roman"/>
        </w:rPr>
        <w:t xml:space="preserve"> </w:t>
      </w:r>
      <w:r w:rsidR="00E36046" w:rsidRPr="00040478">
        <w:rPr>
          <w:rFonts w:ascii="Times New Roman" w:hAnsi="Times New Roman" w:cs="Times New Roman"/>
        </w:rPr>
        <w:t>oraz instalacji</w:t>
      </w:r>
      <w:r w:rsidR="00040478" w:rsidRPr="00040478">
        <w:rPr>
          <w:rFonts w:ascii="Times New Roman" w:hAnsi="Times New Roman" w:cs="Times New Roman"/>
        </w:rPr>
        <w:t xml:space="preserve"> </w:t>
      </w:r>
      <w:r w:rsidR="00E36046" w:rsidRPr="00040478">
        <w:rPr>
          <w:rFonts w:ascii="Times New Roman" w:hAnsi="Times New Roman" w:cs="Times New Roman"/>
        </w:rPr>
        <w:t>elektrycznej, wymianie stolarki drzwiowej</w:t>
      </w:r>
      <w:r w:rsidR="00040478" w:rsidRPr="00040478">
        <w:rPr>
          <w:rFonts w:ascii="Times New Roman" w:hAnsi="Times New Roman" w:cs="Times New Roman"/>
        </w:rPr>
        <w:t xml:space="preserve"> </w:t>
      </w:r>
      <w:r w:rsidR="00E36046" w:rsidRPr="00040478">
        <w:rPr>
          <w:rFonts w:ascii="Times New Roman" w:hAnsi="Times New Roman" w:cs="Times New Roman"/>
        </w:rPr>
        <w:t>w ramach lokalu</w:t>
      </w:r>
      <w:r w:rsidR="00040478" w:rsidRPr="00040478">
        <w:rPr>
          <w:rFonts w:ascii="Times New Roman" w:hAnsi="Times New Roman" w:cs="Times New Roman"/>
        </w:rPr>
        <w:t xml:space="preserve"> </w:t>
      </w:r>
      <w:r w:rsidR="00E36046" w:rsidRPr="00040478">
        <w:rPr>
          <w:rFonts w:ascii="Times New Roman" w:hAnsi="Times New Roman" w:cs="Times New Roman"/>
        </w:rPr>
        <w:t>oraz wymianie stolarki drzwiowej zewnętrznej</w:t>
      </w:r>
      <w:r w:rsidR="00040478" w:rsidRPr="00040478">
        <w:rPr>
          <w:rFonts w:ascii="Times New Roman" w:hAnsi="Times New Roman" w:cs="Times New Roman"/>
        </w:rPr>
        <w:t xml:space="preserve"> </w:t>
      </w:r>
      <w:r w:rsidR="00E36046" w:rsidRPr="00040478">
        <w:rPr>
          <w:rFonts w:ascii="Times New Roman" w:hAnsi="Times New Roman" w:cs="Times New Roman"/>
        </w:rPr>
        <w:t>w elewacji</w:t>
      </w:r>
      <w:r w:rsidR="00040478" w:rsidRPr="00040478">
        <w:rPr>
          <w:rFonts w:ascii="Times New Roman" w:hAnsi="Times New Roman" w:cs="Times New Roman"/>
        </w:rPr>
        <w:t xml:space="preserve"> </w:t>
      </w:r>
      <w:r w:rsidR="00E36046" w:rsidRPr="00040478">
        <w:rPr>
          <w:rFonts w:ascii="Times New Roman" w:hAnsi="Times New Roman" w:cs="Times New Roman"/>
        </w:rPr>
        <w:t>północnej z</w:t>
      </w:r>
      <w:r w:rsidR="00040478" w:rsidRPr="00040478">
        <w:rPr>
          <w:rFonts w:ascii="Times New Roman" w:hAnsi="Times New Roman" w:cs="Times New Roman"/>
        </w:rPr>
        <w:t xml:space="preserve"> </w:t>
      </w:r>
      <w:r w:rsidR="00E36046" w:rsidRPr="00040478">
        <w:rPr>
          <w:rFonts w:ascii="Times New Roman" w:hAnsi="Times New Roman" w:cs="Times New Roman"/>
        </w:rPr>
        <w:t>dostosowaniem</w:t>
      </w:r>
      <w:r w:rsidR="00040478" w:rsidRPr="00040478">
        <w:rPr>
          <w:rFonts w:ascii="Times New Roman" w:hAnsi="Times New Roman" w:cs="Times New Roman"/>
        </w:rPr>
        <w:t xml:space="preserve"> </w:t>
      </w:r>
      <w:r w:rsidR="00E36046" w:rsidRPr="00040478">
        <w:rPr>
          <w:rFonts w:ascii="Times New Roman" w:hAnsi="Times New Roman" w:cs="Times New Roman"/>
        </w:rPr>
        <w:t>dojścia</w:t>
      </w:r>
      <w:r w:rsidR="00040478" w:rsidRPr="00040478">
        <w:rPr>
          <w:rFonts w:ascii="Times New Roman" w:hAnsi="Times New Roman" w:cs="Times New Roman"/>
        </w:rPr>
        <w:t xml:space="preserve"> </w:t>
      </w:r>
      <w:r w:rsidR="00E36046" w:rsidRPr="00040478">
        <w:rPr>
          <w:rFonts w:ascii="Times New Roman" w:hAnsi="Times New Roman" w:cs="Times New Roman"/>
        </w:rPr>
        <w:t>dla osoby poruszającej się na wózku inwalidzkim.</w:t>
      </w:r>
      <w:r w:rsidR="00040478" w:rsidRPr="00040478">
        <w:rPr>
          <w:rFonts w:ascii="Times New Roman" w:hAnsi="Times New Roman" w:cs="Times New Roman"/>
        </w:rPr>
        <w:t xml:space="preserve"> </w:t>
      </w:r>
      <w:r w:rsidR="00E36046" w:rsidRPr="00040478">
        <w:rPr>
          <w:rFonts w:ascii="Times New Roman" w:hAnsi="Times New Roman" w:cs="Times New Roman"/>
        </w:rPr>
        <w:t>Układ i</w:t>
      </w:r>
      <w:r w:rsidR="00040478" w:rsidRPr="00040478">
        <w:rPr>
          <w:rFonts w:ascii="Times New Roman" w:hAnsi="Times New Roman" w:cs="Times New Roman"/>
        </w:rPr>
        <w:t xml:space="preserve"> </w:t>
      </w:r>
      <w:r w:rsidR="00E36046" w:rsidRPr="00040478">
        <w:rPr>
          <w:rFonts w:ascii="Times New Roman" w:hAnsi="Times New Roman" w:cs="Times New Roman"/>
        </w:rPr>
        <w:t>wielkość otworów okiennych nie ulega zmianie</w:t>
      </w:r>
      <w:r w:rsidR="00040478" w:rsidRPr="00040478">
        <w:rPr>
          <w:rFonts w:ascii="Times New Roman" w:hAnsi="Times New Roman" w:cs="Times New Roman"/>
        </w:rPr>
        <w:t xml:space="preserve">. </w:t>
      </w:r>
    </w:p>
    <w:p w14:paraId="7B4EB9FF" w14:textId="77777777" w:rsidR="00040478" w:rsidRPr="00040478" w:rsidRDefault="00040478" w:rsidP="00040478">
      <w:pPr>
        <w:pStyle w:val="Default"/>
        <w:rPr>
          <w:rFonts w:ascii="Times New Roman" w:hAnsi="Times New Roman" w:cs="Times New Roman"/>
        </w:rPr>
      </w:pPr>
      <w:r w:rsidRPr="00040478">
        <w:rPr>
          <w:rFonts w:ascii="Times New Roman" w:hAnsi="Times New Roman" w:cs="Times New Roman"/>
        </w:rPr>
        <w:t>Ściana oddzielenia lokali mieszkalnych wykonana w technologii murowanej jako ściana trwała konstrukcyjnie.</w:t>
      </w:r>
    </w:p>
    <w:p w14:paraId="66174771" w14:textId="77777777" w:rsidR="00E36046" w:rsidRPr="00E36046" w:rsidRDefault="00E36046" w:rsidP="00E36046">
      <w:pPr>
        <w:pStyle w:val="Default"/>
      </w:pPr>
    </w:p>
    <w:p w14:paraId="2EBEBEF0" w14:textId="77777777" w:rsidR="00741B3C" w:rsidRDefault="00CE2E35" w:rsidP="00B97295">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w:t>
      </w:r>
      <w:r w:rsidR="00741B3C">
        <w:rPr>
          <w:rFonts w:ascii="Times New Roman" w:hAnsi="Times New Roman" w:cs="Times New Roman"/>
        </w:rPr>
        <w:t xml:space="preserve">informującą o otrzymanym dofinansowaniu. Wzór tablicy zostanie przekazany po zawarciu umowy z Wykonawcą. </w:t>
      </w:r>
    </w:p>
    <w:p w14:paraId="0AC304CA" w14:textId="77777777" w:rsidR="00040478" w:rsidRDefault="00040478" w:rsidP="00B97295">
      <w:pPr>
        <w:pStyle w:val="Default"/>
        <w:rPr>
          <w:rFonts w:ascii="Times New Roman" w:hAnsi="Times New Roman" w:cs="Times New Roman"/>
        </w:rPr>
      </w:pPr>
    </w:p>
    <w:p w14:paraId="665D2882" w14:textId="17A23842" w:rsidR="00B130A9" w:rsidRPr="00B97295" w:rsidRDefault="00B130A9" w:rsidP="00B97295">
      <w:pPr>
        <w:pStyle w:val="Default"/>
        <w:rPr>
          <w:rFonts w:ascii="Times New Roman" w:hAnsi="Times New Roman" w:cs="Times New Roman"/>
        </w:rPr>
      </w:pPr>
      <w:r w:rsidRPr="00B97295">
        <w:rPr>
          <w:rFonts w:ascii="Times New Roman" w:hAnsi="Times New Roman" w:cs="Times New Roman"/>
        </w:rPr>
        <w:t>Szczegółowy opis przedmiotu zamówienia został określony w Projekcie budowlanym oraz przedmiar</w:t>
      </w:r>
      <w:r w:rsidR="003F6DA9">
        <w:rPr>
          <w:rFonts w:ascii="Times New Roman" w:hAnsi="Times New Roman" w:cs="Times New Roman"/>
        </w:rPr>
        <w:t>ze</w:t>
      </w:r>
      <w:r w:rsidR="004B2946" w:rsidRPr="00B97295">
        <w:rPr>
          <w:rFonts w:ascii="Times New Roman" w:hAnsi="Times New Roman" w:cs="Times New Roman"/>
        </w:rPr>
        <w:t xml:space="preserve"> </w:t>
      </w:r>
      <w:r w:rsidRPr="00B97295">
        <w:rPr>
          <w:rFonts w:ascii="Times New Roman" w:hAnsi="Times New Roman" w:cs="Times New Roman"/>
        </w:rPr>
        <w:t>robót</w:t>
      </w:r>
      <w:r w:rsidR="00741B3C">
        <w:rPr>
          <w:rFonts w:ascii="Times New Roman" w:hAnsi="Times New Roman" w:cs="Times New Roman"/>
        </w:rPr>
        <w:t>.</w:t>
      </w:r>
      <w:r w:rsidRPr="00B97295">
        <w:rPr>
          <w:rFonts w:ascii="Times New Roman" w:hAnsi="Times New Roman" w:cs="Times New Roman"/>
        </w:rPr>
        <w:t xml:space="preserve"> </w:t>
      </w:r>
    </w:p>
    <w:p w14:paraId="1EE7F0D9" w14:textId="77777777" w:rsidR="00A82332" w:rsidRPr="00B97295" w:rsidRDefault="00B130A9" w:rsidP="00B130A9">
      <w:pPr>
        <w:spacing w:line="276" w:lineRule="auto"/>
        <w:jc w:val="both"/>
        <w:rPr>
          <w:sz w:val="24"/>
          <w:szCs w:val="24"/>
        </w:rPr>
      </w:pPr>
      <w:r w:rsidRPr="00B97295">
        <w:rPr>
          <w:sz w:val="24"/>
          <w:szCs w:val="24"/>
        </w:rPr>
        <w:t>2</w:t>
      </w:r>
      <w:r w:rsidR="00A82332" w:rsidRPr="00B97295">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37EDC92D" w14:textId="77777777" w:rsidR="00B97295"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r w:rsidR="00B97295" w:rsidRPr="00B97295">
        <w:rPr>
          <w:sz w:val="24"/>
          <w:szCs w:val="24"/>
        </w:rPr>
        <w:t>45450000-6 Roboty budowlane wykończeniowe, pozostałe</w:t>
      </w:r>
      <w:r w:rsidR="00B97295" w:rsidRPr="00B97295">
        <w:rPr>
          <w:rStyle w:val="Hipercze"/>
          <w:color w:val="000000"/>
          <w:sz w:val="32"/>
          <w:szCs w:val="32"/>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lastRenderedPageBreak/>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w:t>
      </w:r>
      <w:r w:rsidRPr="00951B15">
        <w:rPr>
          <w:sz w:val="24"/>
          <w:szCs w:val="24"/>
        </w:rPr>
        <w:lastRenderedPageBreak/>
        <w:t xml:space="preserve">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28BA29CD" w:rsidR="00330F73" w:rsidRPr="00951B15" w:rsidRDefault="002C7CBB" w:rsidP="002C7CBB">
      <w:pPr>
        <w:spacing w:line="276" w:lineRule="auto"/>
        <w:jc w:val="both"/>
        <w:rPr>
          <w:sz w:val="24"/>
          <w:szCs w:val="24"/>
        </w:rPr>
      </w:pPr>
      <w:r w:rsidRPr="00951B15">
        <w:rPr>
          <w:sz w:val="24"/>
          <w:szCs w:val="24"/>
        </w:rPr>
        <w:lastRenderedPageBreak/>
        <w:t xml:space="preserve">1. Zamawiający wymaga, aby zamówienie zostało wykonane w terminie </w:t>
      </w:r>
      <w:r w:rsidR="000C5C10">
        <w:rPr>
          <w:sz w:val="24"/>
          <w:szCs w:val="24"/>
        </w:rPr>
        <w:t>10</w:t>
      </w:r>
      <w:r w:rsidR="00741B3C">
        <w:rPr>
          <w:sz w:val="24"/>
          <w:szCs w:val="24"/>
        </w:rPr>
        <w:t xml:space="preserve"> tygodni licząc od daty zawarcia umowy</w:t>
      </w:r>
      <w:r w:rsidRPr="00951B15">
        <w:rPr>
          <w:sz w:val="24"/>
          <w:szCs w:val="24"/>
        </w:rPr>
        <w:t xml:space="preserve">. </w:t>
      </w:r>
    </w:p>
    <w:p w14:paraId="026D58AF" w14:textId="00C37B11"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w:t>
      </w:r>
      <w:r w:rsidRPr="008C0C4D">
        <w:rPr>
          <w:sz w:val="24"/>
        </w:rPr>
        <w:lastRenderedPageBreak/>
        <w:t xml:space="preserve">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300F217" w14:textId="77777777" w:rsidR="009A5ADE" w:rsidRPr="008C0C4D" w:rsidRDefault="009A5ADE"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lastRenderedPageBreak/>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w:t>
      </w:r>
      <w:r w:rsidRPr="00296C14">
        <w:rPr>
          <w:sz w:val="24"/>
          <w:szCs w:val="24"/>
        </w:rPr>
        <w:lastRenderedPageBreak/>
        <w:t xml:space="preserve">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w:t>
      </w:r>
      <w:r w:rsidRPr="00296C14">
        <w:rPr>
          <w:sz w:val="24"/>
          <w:szCs w:val="24"/>
        </w:rPr>
        <w:lastRenderedPageBreak/>
        <w:t xml:space="preserve">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9A5ADE"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w:t>
      </w:r>
      <w:r w:rsidRPr="00296C14">
        <w:rPr>
          <w:sz w:val="24"/>
          <w:szCs w:val="24"/>
        </w:rPr>
        <w:lastRenderedPageBreak/>
        <w:t xml:space="preserve">rejestrowym właściwym dla formy organizacyjnej lub innym dokumencie. </w:t>
      </w:r>
      <w:r w:rsidR="00595AEA" w:rsidRPr="009A5ADE">
        <w:rPr>
          <w:b/>
          <w:bCs/>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5AC7E458"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4B64B005" w:rsidR="006961C6" w:rsidRPr="00296C14" w:rsidRDefault="009A5AD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lastRenderedPageBreak/>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w:t>
      </w:r>
      <w:r w:rsidRPr="00CA07A4">
        <w:rPr>
          <w:sz w:val="24"/>
        </w:rPr>
        <w:lastRenderedPageBreak/>
        <w:t xml:space="preserve">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2201FA4" w14:textId="77777777" w:rsidR="009A5ADE" w:rsidRDefault="009A5ADE" w:rsidP="00E83044">
      <w:pPr>
        <w:spacing w:line="276" w:lineRule="auto"/>
        <w:jc w:val="both"/>
        <w:rPr>
          <w:sz w:val="24"/>
          <w:szCs w:val="24"/>
        </w:rPr>
      </w:pPr>
      <w:r>
        <w:rPr>
          <w:sz w:val="24"/>
          <w:szCs w:val="24"/>
        </w:rPr>
        <w:t xml:space="preserve">Zamawiający nie wymaga wniesienia wadium. </w:t>
      </w:r>
    </w:p>
    <w:p w14:paraId="4B299195" w14:textId="77777777" w:rsidR="009A5ADE" w:rsidRDefault="009A5ADE" w:rsidP="00E83044">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1BDA72EE"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806694">
        <w:rPr>
          <w:sz w:val="24"/>
          <w:szCs w:val="24"/>
          <w:highlight w:val="yellow"/>
        </w:rPr>
        <w:t>07.03.2025r</w:t>
      </w:r>
      <w:r w:rsidRPr="00741B3C">
        <w:rPr>
          <w:sz w:val="24"/>
          <w:szCs w:val="24"/>
          <w:highlight w:val="yellow"/>
        </w:rPr>
        <w:t>.</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lastRenderedPageBreak/>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lastRenderedPageBreak/>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w:t>
      </w:r>
      <w:r w:rsidRPr="00D9498E">
        <w:rPr>
          <w:sz w:val="24"/>
        </w:rPr>
        <w:lastRenderedPageBreak/>
        <w:t xml:space="preserve">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lastRenderedPageBreak/>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5DAD23A8"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806694">
        <w:rPr>
          <w:sz w:val="24"/>
          <w:szCs w:val="24"/>
          <w:highlight w:val="yellow"/>
        </w:rPr>
        <w:t>07.03.2025</w:t>
      </w:r>
      <w:r w:rsidRPr="00741B3C">
        <w:rPr>
          <w:sz w:val="24"/>
          <w:szCs w:val="24"/>
          <w:highlight w:val="yellow"/>
        </w:rPr>
        <w:t xml:space="preserve"> r. do godz. </w:t>
      </w:r>
      <w:r w:rsidR="00F14285" w:rsidRPr="00741B3C">
        <w:rPr>
          <w:sz w:val="24"/>
          <w:szCs w:val="24"/>
          <w:highlight w:val="yellow"/>
        </w:rPr>
        <w:t>09</w:t>
      </w:r>
      <w:r w:rsidRPr="00741B3C">
        <w:rPr>
          <w:sz w:val="24"/>
          <w:szCs w:val="24"/>
          <w:highlight w:val="yellow"/>
        </w:rPr>
        <w:t>:</w:t>
      </w:r>
      <w:r w:rsidR="00F14285" w:rsidRPr="00741B3C">
        <w:rPr>
          <w:sz w:val="24"/>
          <w:szCs w:val="24"/>
          <w:highlight w:val="yellow"/>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50D4C79E"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806694" w:rsidRPr="00806694">
        <w:rPr>
          <w:sz w:val="24"/>
          <w:szCs w:val="24"/>
          <w:highlight w:val="yellow"/>
        </w:rPr>
        <w:t>07.03.2025r.</w:t>
      </w:r>
      <w:r w:rsidRPr="00806694">
        <w:rPr>
          <w:sz w:val="24"/>
          <w:szCs w:val="24"/>
          <w:highlight w:val="yellow"/>
        </w:rPr>
        <w:t xml:space="preserve"> o godz. 1</w:t>
      </w:r>
      <w:r w:rsidR="00F14285" w:rsidRPr="00806694">
        <w:rPr>
          <w:sz w:val="24"/>
          <w:szCs w:val="24"/>
          <w:highlight w:val="yellow"/>
        </w:rPr>
        <w:t>0</w:t>
      </w:r>
      <w:r w:rsidRPr="00806694">
        <w:rPr>
          <w:sz w:val="24"/>
          <w:szCs w:val="24"/>
          <w:highlight w:val="yellow"/>
        </w:rPr>
        <w:t>:</w:t>
      </w:r>
      <w:r w:rsidR="00806694" w:rsidRPr="00806694">
        <w:rPr>
          <w:sz w:val="24"/>
          <w:szCs w:val="24"/>
          <w:highlight w:val="yellow"/>
        </w:rPr>
        <w:t>0</w:t>
      </w:r>
      <w:r w:rsidRPr="00806694">
        <w:rPr>
          <w:sz w:val="24"/>
          <w:szCs w:val="24"/>
          <w:highlight w:val="yellow"/>
        </w:rPr>
        <w:t>0</w:t>
      </w:r>
      <w:r w:rsidRPr="00F14285">
        <w:rPr>
          <w:sz w:val="24"/>
          <w:szCs w:val="24"/>
        </w:rPr>
        <w:t xml:space="preserve">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09B29D17"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806694">
        <w:rPr>
          <w:sz w:val="24"/>
          <w:szCs w:val="24"/>
        </w:rPr>
        <w:t>05.04.2025</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lastRenderedPageBreak/>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lastRenderedPageBreak/>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74D8261A" w:rsidR="007A2AF7" w:rsidRPr="00806694" w:rsidRDefault="001413B4" w:rsidP="00806694">
      <w:pPr>
        <w:rPr>
          <w:b/>
          <w:i/>
          <w:sz w:val="24"/>
          <w:szCs w:val="24"/>
        </w:rPr>
      </w:pPr>
      <w:r w:rsidRPr="00806694">
        <w:rPr>
          <w:sz w:val="24"/>
          <w:szCs w:val="24"/>
        </w:rPr>
        <w:t xml:space="preserve">7. Zabezpieczenie wnoszone w pieniądzu powinno zostać wpłacone przelewem na rachunek bankowy zamawiającego: </w:t>
      </w:r>
      <w:r w:rsidR="007A2AF7" w:rsidRPr="00806694">
        <w:rPr>
          <w:b/>
          <w:i/>
          <w:iCs/>
          <w:sz w:val="24"/>
          <w:szCs w:val="24"/>
        </w:rPr>
        <w:t>03 9589 0003 0390 0619 2000 0030</w:t>
      </w:r>
      <w:r w:rsidR="007A2AF7" w:rsidRPr="00806694">
        <w:rPr>
          <w:sz w:val="24"/>
          <w:szCs w:val="24"/>
        </w:rPr>
        <w:t xml:space="preserve"> </w:t>
      </w:r>
      <w:r w:rsidRPr="00806694">
        <w:rPr>
          <w:sz w:val="24"/>
          <w:szCs w:val="24"/>
        </w:rPr>
        <w:t xml:space="preserve">tytułem przelewu: Zabezpieczenie należytego wykonania umowy na: </w:t>
      </w:r>
      <w:r w:rsidRPr="00806694">
        <w:rPr>
          <w:b/>
          <w:i/>
          <w:sz w:val="24"/>
          <w:szCs w:val="24"/>
        </w:rPr>
        <w:t>„</w:t>
      </w:r>
      <w:r w:rsidR="00806694">
        <w:rPr>
          <w:i/>
          <w:sz w:val="24"/>
          <w:szCs w:val="24"/>
        </w:rPr>
        <w:t>P</w:t>
      </w:r>
      <w:r w:rsidR="00806694" w:rsidRPr="00806694">
        <w:rPr>
          <w:i/>
          <w:sz w:val="24"/>
          <w:szCs w:val="24"/>
        </w:rPr>
        <w:t>rzebudowa lokalu mieszkalnego w celu wydzielenia dwóch lokali mieszkalnych w tym jeden jako</w:t>
      </w:r>
      <w:r w:rsidR="00806694" w:rsidRPr="00806694">
        <w:rPr>
          <w:i/>
          <w:sz w:val="24"/>
          <w:szCs w:val="24"/>
        </w:rPr>
        <w:t xml:space="preserve"> </w:t>
      </w:r>
      <w:r w:rsidR="00806694" w:rsidRPr="00806694">
        <w:rPr>
          <w:i/>
          <w:sz w:val="24"/>
          <w:szCs w:val="24"/>
        </w:rPr>
        <w:t>lokal wspomagany dla osoby z niepełnosprawnością</w:t>
      </w:r>
      <w:r w:rsidR="00806694" w:rsidRPr="00806694">
        <w:rPr>
          <w:i/>
          <w:sz w:val="24"/>
          <w:szCs w:val="24"/>
        </w:rPr>
        <w:t xml:space="preserve">. </w:t>
      </w:r>
      <w:r w:rsidRPr="00806694">
        <w:rPr>
          <w:b/>
          <w:i/>
          <w:sz w:val="24"/>
          <w:szCs w:val="24"/>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806694">
        <w:t>8</w:t>
      </w:r>
      <w:r w:rsidR="001413B4" w:rsidRPr="00806694">
        <w:t>. Zabezpieczenie wnoszone w formie innej niż w pieniądzu powinno</w:t>
      </w:r>
      <w:r w:rsidR="001413B4" w:rsidRPr="00133A51">
        <w:t xml:space="preserve">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w:t>
      </w:r>
      <w:r w:rsidRPr="00133A51">
        <w:lastRenderedPageBreak/>
        <w:t xml:space="preserve">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lastRenderedPageBreak/>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w:t>
      </w:r>
      <w:r w:rsidRPr="004D7B39">
        <w:rPr>
          <w:sz w:val="24"/>
        </w:rPr>
        <w:lastRenderedPageBreak/>
        <w:t xml:space="preserve">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1D7AFF85" w14:textId="77777777" w:rsidR="00806694" w:rsidRDefault="00806694" w:rsidP="001413B4">
      <w:pPr>
        <w:pStyle w:val="Akapitzlist"/>
        <w:spacing w:line="276" w:lineRule="auto"/>
        <w:ind w:left="0"/>
        <w:jc w:val="both"/>
        <w:rPr>
          <w:sz w:val="22"/>
          <w:szCs w:val="24"/>
        </w:rPr>
      </w:pPr>
    </w:p>
    <w:p w14:paraId="05DD2D99" w14:textId="77777777" w:rsidR="00806694" w:rsidRDefault="00806694" w:rsidP="001413B4">
      <w:pPr>
        <w:pStyle w:val="Akapitzlist"/>
        <w:spacing w:line="276" w:lineRule="auto"/>
        <w:ind w:left="0"/>
        <w:jc w:val="both"/>
        <w:rPr>
          <w:sz w:val="22"/>
          <w:szCs w:val="24"/>
        </w:rPr>
      </w:pPr>
    </w:p>
    <w:p w14:paraId="3A1DF3BB" w14:textId="77777777" w:rsidR="00806694" w:rsidRDefault="00806694" w:rsidP="001413B4">
      <w:pPr>
        <w:pStyle w:val="Akapitzlist"/>
        <w:spacing w:line="276" w:lineRule="auto"/>
        <w:ind w:left="0"/>
        <w:jc w:val="both"/>
        <w:rPr>
          <w:sz w:val="22"/>
          <w:szCs w:val="24"/>
        </w:rPr>
      </w:pPr>
    </w:p>
    <w:p w14:paraId="16361E06" w14:textId="77777777" w:rsidR="00806694" w:rsidRDefault="00806694" w:rsidP="001413B4">
      <w:pPr>
        <w:pStyle w:val="Akapitzlist"/>
        <w:spacing w:line="276" w:lineRule="auto"/>
        <w:ind w:left="0"/>
        <w:jc w:val="both"/>
        <w:rPr>
          <w:sz w:val="22"/>
          <w:szCs w:val="24"/>
        </w:rPr>
      </w:pPr>
    </w:p>
    <w:p w14:paraId="3E8392C2" w14:textId="77777777" w:rsidR="00806694" w:rsidRDefault="00806694" w:rsidP="001413B4">
      <w:pPr>
        <w:pStyle w:val="Akapitzlist"/>
        <w:spacing w:line="276" w:lineRule="auto"/>
        <w:ind w:left="0"/>
        <w:jc w:val="both"/>
        <w:rPr>
          <w:sz w:val="22"/>
          <w:szCs w:val="24"/>
        </w:rPr>
      </w:pPr>
    </w:p>
    <w:p w14:paraId="586AB37C" w14:textId="77777777" w:rsidR="00806694" w:rsidRDefault="00806694" w:rsidP="001413B4">
      <w:pPr>
        <w:pStyle w:val="Akapitzlist"/>
        <w:spacing w:line="276" w:lineRule="auto"/>
        <w:ind w:left="0"/>
        <w:jc w:val="both"/>
        <w:rPr>
          <w:sz w:val="22"/>
          <w:szCs w:val="24"/>
        </w:rPr>
      </w:pPr>
    </w:p>
    <w:p w14:paraId="60A46292" w14:textId="77777777" w:rsidR="00806694" w:rsidRDefault="00806694" w:rsidP="001413B4">
      <w:pPr>
        <w:pStyle w:val="Akapitzlist"/>
        <w:spacing w:line="276" w:lineRule="auto"/>
        <w:ind w:left="0"/>
        <w:jc w:val="both"/>
        <w:rPr>
          <w:sz w:val="22"/>
          <w:szCs w:val="24"/>
        </w:rPr>
      </w:pPr>
    </w:p>
    <w:p w14:paraId="7F0BB145" w14:textId="77777777" w:rsidR="00806694" w:rsidRDefault="00806694" w:rsidP="001413B4">
      <w:pPr>
        <w:pStyle w:val="Akapitzlist"/>
        <w:spacing w:line="276" w:lineRule="auto"/>
        <w:ind w:left="0"/>
        <w:jc w:val="both"/>
        <w:rPr>
          <w:sz w:val="22"/>
          <w:szCs w:val="24"/>
        </w:rPr>
      </w:pPr>
    </w:p>
    <w:p w14:paraId="5A8D5A6E" w14:textId="77777777" w:rsidR="00806694" w:rsidRDefault="00806694" w:rsidP="001413B4">
      <w:pPr>
        <w:pStyle w:val="Akapitzlist"/>
        <w:spacing w:line="276" w:lineRule="auto"/>
        <w:ind w:left="0"/>
        <w:jc w:val="both"/>
        <w:rPr>
          <w:sz w:val="22"/>
          <w:szCs w:val="24"/>
        </w:rPr>
      </w:pPr>
    </w:p>
    <w:p w14:paraId="6BAB0073" w14:textId="77777777" w:rsidR="00806694" w:rsidRDefault="00806694" w:rsidP="001413B4">
      <w:pPr>
        <w:pStyle w:val="Akapitzlist"/>
        <w:spacing w:line="276" w:lineRule="auto"/>
        <w:ind w:left="0"/>
        <w:jc w:val="both"/>
        <w:rPr>
          <w:sz w:val="22"/>
          <w:szCs w:val="24"/>
        </w:rPr>
      </w:pPr>
    </w:p>
    <w:p w14:paraId="39136ADD" w14:textId="77777777" w:rsidR="00806694" w:rsidRDefault="00806694" w:rsidP="001413B4">
      <w:pPr>
        <w:pStyle w:val="Akapitzlist"/>
        <w:spacing w:line="276" w:lineRule="auto"/>
        <w:ind w:left="0"/>
        <w:jc w:val="both"/>
        <w:rPr>
          <w:sz w:val="22"/>
          <w:szCs w:val="24"/>
        </w:rPr>
      </w:pPr>
    </w:p>
    <w:p w14:paraId="0893951F" w14:textId="77777777" w:rsidR="00806694" w:rsidRDefault="00806694"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6295F5AA" w14:textId="3FEDC1D7"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806694">
        <w:rPr>
          <w:b/>
          <w:sz w:val="24"/>
          <w:szCs w:val="24"/>
        </w:rPr>
        <w:t>5</w:t>
      </w:r>
      <w:r w:rsidRPr="00BB08DE">
        <w:rPr>
          <w:b/>
          <w:sz w:val="24"/>
          <w:szCs w:val="24"/>
        </w:rPr>
        <w:t>.202</w:t>
      </w:r>
      <w:r w:rsidR="00806694">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928108C" w14:textId="2A0602C8" w:rsidR="00741B3C" w:rsidRPr="00BB08DE" w:rsidRDefault="00967119" w:rsidP="00741B3C">
      <w:pPr>
        <w:widowControl w:val="0"/>
        <w:spacing w:line="276" w:lineRule="auto"/>
        <w:rPr>
          <w:sz w:val="24"/>
          <w:szCs w:val="24"/>
        </w:rPr>
      </w:pPr>
      <w:r w:rsidRPr="00BB08DE">
        <w:rPr>
          <w:sz w:val="24"/>
          <w:szCs w:val="24"/>
        </w:rPr>
        <w:t xml:space="preserve">Nr telefonu,......................................................... </w:t>
      </w:r>
      <w:r w:rsidR="00741B3C" w:rsidRPr="00BB08DE">
        <w:rPr>
          <w:sz w:val="24"/>
          <w:szCs w:val="24"/>
        </w:rPr>
        <w:t>e-mail:..............................................................</w:t>
      </w:r>
    </w:p>
    <w:p w14:paraId="562051DD" w14:textId="4DB285F7" w:rsidR="00967119" w:rsidRPr="00BB08DE" w:rsidRDefault="00741B3C" w:rsidP="00BB08DE">
      <w:pPr>
        <w:widowControl w:val="0"/>
        <w:spacing w:line="276" w:lineRule="auto"/>
        <w:rPr>
          <w:sz w:val="24"/>
          <w:szCs w:val="24"/>
        </w:rPr>
      </w:pPr>
      <w:r>
        <w:rPr>
          <w:sz w:val="24"/>
          <w:szCs w:val="24"/>
        </w:rPr>
        <w:t>N</w:t>
      </w:r>
      <w:r w:rsidR="00967119" w:rsidRPr="00BB08DE">
        <w:rPr>
          <w:sz w:val="24"/>
          <w:szCs w:val="24"/>
        </w:rPr>
        <w:t>IP:........................................................................</w:t>
      </w:r>
      <w:r>
        <w:rPr>
          <w:sz w:val="24"/>
          <w:szCs w:val="24"/>
        </w:rPr>
        <w:t>KRS ………………………………………..</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32EF2D4B" w14:textId="57DA1466" w:rsidR="0006131C" w:rsidRPr="0006131C" w:rsidRDefault="00967119" w:rsidP="0006131C">
      <w:pPr>
        <w:rPr>
          <w:i/>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06131C">
        <w:rPr>
          <w:i/>
          <w:sz w:val="24"/>
          <w:szCs w:val="24"/>
        </w:rPr>
        <w:t>P</w:t>
      </w:r>
      <w:r w:rsidR="0006131C" w:rsidRPr="0006131C">
        <w:rPr>
          <w:i/>
          <w:sz w:val="24"/>
          <w:szCs w:val="24"/>
        </w:rPr>
        <w:t xml:space="preserve">rzebudowa lokalu mieszkalnego w celu wydzielenia dwóch lokali mieszkalnych w tym jeden jako lokal wspomagany dla osoby z niepełnosprawnością. </w:t>
      </w:r>
    </w:p>
    <w:p w14:paraId="32762209" w14:textId="1CA97376"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5E5A3EC" w14:textId="77777777" w:rsidR="003807ED" w:rsidRDefault="003807ED" w:rsidP="00FF5891">
      <w:pPr>
        <w:widowControl w:val="0"/>
        <w:tabs>
          <w:tab w:val="left" w:pos="5670"/>
        </w:tabs>
        <w:spacing w:line="276" w:lineRule="auto"/>
        <w:jc w:val="both"/>
        <w:rPr>
          <w:sz w:val="24"/>
          <w:szCs w:val="24"/>
        </w:rPr>
      </w:pP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0F432842"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w:t>
      </w:r>
      <w:r w:rsidR="000C5C10">
        <w:rPr>
          <w:b/>
          <w:sz w:val="24"/>
          <w:szCs w:val="24"/>
        </w:rPr>
        <w:t>10</w:t>
      </w:r>
      <w:r w:rsidR="00741B3C">
        <w:rPr>
          <w:b/>
          <w:sz w:val="24"/>
          <w:szCs w:val="24"/>
        </w:rPr>
        <w:t xml:space="preserve"> tygodni licząc od daty zawarcia umowy</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na </w:t>
      </w:r>
      <w:r w:rsidRPr="00136E3E">
        <w:rPr>
          <w:sz w:val="24"/>
          <w:szCs w:val="24"/>
        </w:rPr>
        <w:lastRenderedPageBreak/>
        <w:t>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0A7C5954"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74D4FE1" w14:textId="1DEDF3FC"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06131C">
        <w:rPr>
          <w:b/>
          <w:sz w:val="24"/>
          <w:szCs w:val="24"/>
        </w:rPr>
        <w:t>5</w:t>
      </w:r>
      <w:r w:rsidRPr="007B0E74">
        <w:rPr>
          <w:b/>
          <w:sz w:val="24"/>
          <w:szCs w:val="24"/>
        </w:rPr>
        <w:t>.202</w:t>
      </w:r>
      <w:r w:rsidR="0006131C">
        <w:rPr>
          <w:b/>
          <w:sz w:val="24"/>
          <w:szCs w:val="24"/>
        </w:rPr>
        <w:t>5</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3AF3931" w14:textId="77777777" w:rsidR="0006131C" w:rsidRPr="0006131C" w:rsidRDefault="004F0487" w:rsidP="0006131C">
      <w:pPr>
        <w:rPr>
          <w:i/>
          <w:sz w:val="24"/>
          <w:szCs w:val="24"/>
        </w:rPr>
      </w:pPr>
      <w:r w:rsidRPr="007B0E74">
        <w:rPr>
          <w:sz w:val="24"/>
          <w:szCs w:val="24"/>
        </w:rPr>
        <w:t>Na potrzeby postępowania o udzielenie zamówienia publicznego pn.</w:t>
      </w:r>
      <w:r w:rsidR="0014624F" w:rsidRPr="0014624F">
        <w:rPr>
          <w:sz w:val="24"/>
          <w:szCs w:val="24"/>
        </w:rPr>
        <w:t xml:space="preserve">: </w:t>
      </w:r>
      <w:r w:rsidR="0006131C">
        <w:rPr>
          <w:i/>
          <w:sz w:val="24"/>
          <w:szCs w:val="24"/>
        </w:rPr>
        <w:t>P</w:t>
      </w:r>
      <w:r w:rsidR="0006131C" w:rsidRPr="0006131C">
        <w:rPr>
          <w:i/>
          <w:sz w:val="24"/>
          <w:szCs w:val="24"/>
        </w:rPr>
        <w:t xml:space="preserve">rzebudowa lokalu mieszkalnego w celu wydzielenia dwóch lokali mieszkalnych w tym jeden jako lokal wspomagany dla osoby z niepełnosprawnością. </w:t>
      </w:r>
    </w:p>
    <w:p w14:paraId="3EF93849" w14:textId="243211A7" w:rsidR="004F0487" w:rsidRPr="007B0E74" w:rsidRDefault="004F0487" w:rsidP="00FF5891">
      <w:pPr>
        <w:widowControl w:val="0"/>
        <w:tabs>
          <w:tab w:val="left" w:pos="5670"/>
        </w:tabs>
        <w:spacing w:line="276" w:lineRule="auto"/>
        <w:jc w:val="both"/>
        <w:rPr>
          <w:b/>
          <w:sz w:val="24"/>
          <w:szCs w:val="24"/>
        </w:rPr>
      </w:pP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278489BD" w14:textId="69E76D62"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06131C">
        <w:rPr>
          <w:b/>
          <w:sz w:val="24"/>
          <w:szCs w:val="24"/>
        </w:rPr>
        <w:t>5</w:t>
      </w:r>
      <w:r w:rsidRPr="00634CCB">
        <w:rPr>
          <w:b/>
          <w:sz w:val="24"/>
          <w:szCs w:val="24"/>
        </w:rPr>
        <w:t>.202</w:t>
      </w:r>
      <w:r w:rsidR="0006131C">
        <w:rPr>
          <w:b/>
          <w:sz w:val="24"/>
          <w:szCs w:val="24"/>
        </w:rPr>
        <w:t>5</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61CCE1C3" w14:textId="77777777" w:rsidR="0006131C" w:rsidRPr="0006131C" w:rsidRDefault="00634CCB" w:rsidP="0006131C">
      <w:pPr>
        <w:rPr>
          <w:i/>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06131C">
        <w:rPr>
          <w:i/>
          <w:sz w:val="24"/>
          <w:szCs w:val="24"/>
        </w:rPr>
        <w:t>P</w:t>
      </w:r>
      <w:r w:rsidR="0006131C" w:rsidRPr="0006131C">
        <w:rPr>
          <w:i/>
          <w:sz w:val="24"/>
          <w:szCs w:val="24"/>
        </w:rPr>
        <w:t xml:space="preserve">rzebudowa lokalu mieszkalnego w celu wydzielenia dwóch lokali mieszkalnych w tym jeden jako lokal wspomagany dla osoby z niepełnosprawnością. </w:t>
      </w:r>
    </w:p>
    <w:p w14:paraId="0135EDDA" w14:textId="0BFDD993" w:rsidR="00E95051" w:rsidRPr="0014624F" w:rsidRDefault="00E95051" w:rsidP="00E95051">
      <w:pPr>
        <w:widowControl w:val="0"/>
        <w:tabs>
          <w:tab w:val="left" w:pos="5670"/>
        </w:tabs>
        <w:spacing w:line="276" w:lineRule="auto"/>
        <w:jc w:val="both"/>
        <w:rPr>
          <w:sz w:val="24"/>
          <w:szCs w:val="24"/>
        </w:rPr>
      </w:pP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06D780BF"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06131C">
        <w:rPr>
          <w:b/>
          <w:sz w:val="24"/>
          <w:szCs w:val="24"/>
        </w:rPr>
        <w:t>5</w:t>
      </w:r>
      <w:r w:rsidRPr="008919AA">
        <w:rPr>
          <w:b/>
          <w:sz w:val="24"/>
          <w:szCs w:val="24"/>
        </w:rPr>
        <w:t>.202</w:t>
      </w:r>
      <w:r w:rsidR="0006131C">
        <w:rPr>
          <w:b/>
          <w:sz w:val="24"/>
          <w:szCs w:val="24"/>
        </w:rPr>
        <w:t>5</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1472C4A1" w14:textId="77777777" w:rsidR="0006131C" w:rsidRPr="0006131C" w:rsidRDefault="0006131C" w:rsidP="0006131C">
      <w:pPr>
        <w:rPr>
          <w:i/>
          <w:sz w:val="24"/>
          <w:szCs w:val="24"/>
        </w:rPr>
      </w:pPr>
      <w:r>
        <w:rPr>
          <w:i/>
          <w:sz w:val="24"/>
          <w:szCs w:val="24"/>
        </w:rPr>
        <w:t>P</w:t>
      </w:r>
      <w:r w:rsidRPr="0006131C">
        <w:rPr>
          <w:i/>
          <w:sz w:val="24"/>
          <w:szCs w:val="24"/>
        </w:rPr>
        <w:t xml:space="preserve">rzebudowa lokalu mieszkalnego w celu wydzielenia dwóch lokali mieszkalnych w tym jeden jako lokal wspomagany dla osoby z niepełnosprawnością. </w:t>
      </w:r>
    </w:p>
    <w:p w14:paraId="362BB024" w14:textId="325F9A50" w:rsidR="00E95051" w:rsidRPr="0014624F" w:rsidRDefault="00E95051" w:rsidP="00E95051">
      <w:pPr>
        <w:widowControl w:val="0"/>
        <w:tabs>
          <w:tab w:val="left" w:pos="5670"/>
        </w:tabs>
        <w:spacing w:line="276" w:lineRule="auto"/>
        <w:jc w:val="center"/>
        <w:rPr>
          <w:sz w:val="24"/>
          <w:szCs w:val="24"/>
        </w:rPr>
      </w:pP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51D98F1E"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06131C">
        <w:rPr>
          <w:b/>
          <w:sz w:val="24"/>
          <w:szCs w:val="24"/>
        </w:rPr>
        <w:t>5</w:t>
      </w:r>
      <w:r w:rsidRPr="007B0E74">
        <w:rPr>
          <w:b/>
          <w:sz w:val="24"/>
          <w:szCs w:val="24"/>
        </w:rPr>
        <w:t>.202</w:t>
      </w:r>
      <w:r w:rsidR="0006131C">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2546644" w14:textId="77777777" w:rsidR="0006131C" w:rsidRPr="0006131C" w:rsidRDefault="0006131C" w:rsidP="0006131C">
      <w:pPr>
        <w:rPr>
          <w:i/>
          <w:sz w:val="24"/>
          <w:szCs w:val="24"/>
        </w:rPr>
      </w:pPr>
      <w:r>
        <w:rPr>
          <w:i/>
          <w:sz w:val="24"/>
          <w:szCs w:val="24"/>
        </w:rPr>
        <w:t>P</w:t>
      </w:r>
      <w:r w:rsidRPr="0006131C">
        <w:rPr>
          <w:i/>
          <w:sz w:val="24"/>
          <w:szCs w:val="24"/>
        </w:rPr>
        <w:t xml:space="preserve">rzebudowa lokalu mieszkalnego w celu wydzielenia dwóch lokali mieszkalnych w tym jeden jako lokal wspomagany dla osoby z niepełnosprawnością. </w:t>
      </w:r>
    </w:p>
    <w:p w14:paraId="1543F203" w14:textId="77777777" w:rsidR="00FF5891" w:rsidRPr="00B76DA4" w:rsidRDefault="00FF5891" w:rsidP="00FF5891">
      <w:pPr>
        <w:pStyle w:val="Nagwek"/>
        <w:spacing w:line="276" w:lineRule="auto"/>
        <w:jc w:val="center"/>
        <w:rPr>
          <w:sz w:val="24"/>
          <w:szCs w:val="24"/>
        </w:rPr>
      </w:pP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D5AF" w14:textId="77777777" w:rsidR="006048CC" w:rsidRDefault="006048CC" w:rsidP="00065E8D">
      <w:r>
        <w:separator/>
      </w:r>
    </w:p>
  </w:endnote>
  <w:endnote w:type="continuationSeparator" w:id="0">
    <w:p w14:paraId="1B12BA02" w14:textId="77777777" w:rsidR="006048CC" w:rsidRDefault="006048CC"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15E72DAD" w14:textId="77777777" w:rsidR="004D486B" w:rsidRPr="004D486B" w:rsidRDefault="004D486B" w:rsidP="004D486B">
    <w:pPr>
      <w:rPr>
        <w:i/>
        <w:sz w:val="16"/>
      </w:rPr>
    </w:pPr>
  </w:p>
  <w:p w14:paraId="0F7F39B1" w14:textId="1DC44219" w:rsidR="00331DB6" w:rsidRPr="003445B8" w:rsidRDefault="004D486B" w:rsidP="004D486B">
    <w:pPr>
      <w:rPr>
        <w:i/>
        <w:sz w:val="16"/>
      </w:rPr>
    </w:pPr>
    <w:r w:rsidRPr="004D486B">
      <w:rPr>
        <w:i/>
        <w:sz w:val="16"/>
      </w:rPr>
      <w:t>PRZEBUDOWA LOKALU MIESZKALNEGO W CELU WYDZIELENIA DWÓCH LOKALI MIESZKALNYCH W TYM JEDEN JAKO</w:t>
    </w:r>
    <w:r>
      <w:rPr>
        <w:i/>
        <w:sz w:val="16"/>
      </w:rPr>
      <w:t xml:space="preserve"> </w:t>
    </w:r>
    <w:r w:rsidRPr="004D486B">
      <w:rPr>
        <w:i/>
        <w:sz w:val="16"/>
      </w:rPr>
      <w:t>LOKAL WSPOMAGANY DLA OSOBY Z NIEPEŁNOSPRAWNOŚCIĄ</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62696DB8" w:rsidR="00331DB6" w:rsidRPr="009618EB" w:rsidRDefault="00331DB6">
    <w:pPr>
      <w:pStyle w:val="Stopka"/>
      <w:rPr>
        <w:sz w:val="18"/>
        <w:szCs w:val="18"/>
      </w:rPr>
    </w:pPr>
    <w:r w:rsidRPr="009618EB">
      <w:rPr>
        <w:sz w:val="18"/>
        <w:szCs w:val="18"/>
      </w:rPr>
      <w:t>OS.271.1.</w:t>
    </w:r>
    <w:r w:rsidR="004D486B">
      <w:rPr>
        <w:sz w:val="18"/>
        <w:szCs w:val="18"/>
      </w:rPr>
      <w:t>5</w:t>
    </w:r>
    <w:r w:rsidRPr="009618EB">
      <w:rPr>
        <w:sz w:val="18"/>
        <w:szCs w:val="18"/>
      </w:rPr>
      <w:t>.202</w:t>
    </w:r>
    <w:r w:rsidR="004D486B">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3715" w14:textId="77777777" w:rsidR="006048CC" w:rsidRDefault="006048CC" w:rsidP="00065E8D">
      <w:r>
        <w:separator/>
      </w:r>
    </w:p>
  </w:footnote>
  <w:footnote w:type="continuationSeparator" w:id="0">
    <w:p w14:paraId="7806BE78" w14:textId="77777777" w:rsidR="006048CC" w:rsidRDefault="006048CC"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0478"/>
    <w:rsid w:val="00043A53"/>
    <w:rsid w:val="00044A81"/>
    <w:rsid w:val="0006131C"/>
    <w:rsid w:val="00065E8D"/>
    <w:rsid w:val="00087DC3"/>
    <w:rsid w:val="000C5C10"/>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C4FF2"/>
    <w:rsid w:val="001C7C89"/>
    <w:rsid w:val="00202BF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05C"/>
    <w:rsid w:val="00330F73"/>
    <w:rsid w:val="00331A91"/>
    <w:rsid w:val="00331DB6"/>
    <w:rsid w:val="003445B8"/>
    <w:rsid w:val="00346270"/>
    <w:rsid w:val="00351247"/>
    <w:rsid w:val="00356B2B"/>
    <w:rsid w:val="00361279"/>
    <w:rsid w:val="00362AE8"/>
    <w:rsid w:val="0036733C"/>
    <w:rsid w:val="003807ED"/>
    <w:rsid w:val="00393A8B"/>
    <w:rsid w:val="003C1036"/>
    <w:rsid w:val="003C4D9F"/>
    <w:rsid w:val="003E01E4"/>
    <w:rsid w:val="003E111C"/>
    <w:rsid w:val="003E3D54"/>
    <w:rsid w:val="003E7108"/>
    <w:rsid w:val="003F6DA9"/>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B2946"/>
    <w:rsid w:val="004C1B88"/>
    <w:rsid w:val="004D486B"/>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219F"/>
    <w:rsid w:val="005B5740"/>
    <w:rsid w:val="005D7C34"/>
    <w:rsid w:val="005F44E2"/>
    <w:rsid w:val="005F5737"/>
    <w:rsid w:val="00602ED4"/>
    <w:rsid w:val="00603E28"/>
    <w:rsid w:val="006048CC"/>
    <w:rsid w:val="00613E5F"/>
    <w:rsid w:val="00614E3D"/>
    <w:rsid w:val="006150EE"/>
    <w:rsid w:val="006279C3"/>
    <w:rsid w:val="006308C0"/>
    <w:rsid w:val="00633660"/>
    <w:rsid w:val="006341B0"/>
    <w:rsid w:val="00634CCB"/>
    <w:rsid w:val="006607FD"/>
    <w:rsid w:val="00661836"/>
    <w:rsid w:val="00662B68"/>
    <w:rsid w:val="006961C6"/>
    <w:rsid w:val="006A6B56"/>
    <w:rsid w:val="006B4091"/>
    <w:rsid w:val="006E0F3D"/>
    <w:rsid w:val="006F1E80"/>
    <w:rsid w:val="006F7628"/>
    <w:rsid w:val="007007BA"/>
    <w:rsid w:val="00741B3C"/>
    <w:rsid w:val="00772190"/>
    <w:rsid w:val="007A2AF7"/>
    <w:rsid w:val="007A36E1"/>
    <w:rsid w:val="007A5089"/>
    <w:rsid w:val="007B0E74"/>
    <w:rsid w:val="007D088E"/>
    <w:rsid w:val="007E4A27"/>
    <w:rsid w:val="00806694"/>
    <w:rsid w:val="0082757B"/>
    <w:rsid w:val="00840F4A"/>
    <w:rsid w:val="00854C12"/>
    <w:rsid w:val="0085577B"/>
    <w:rsid w:val="008610B1"/>
    <w:rsid w:val="00863987"/>
    <w:rsid w:val="008919AA"/>
    <w:rsid w:val="008A1511"/>
    <w:rsid w:val="008C0C4D"/>
    <w:rsid w:val="008C1A0E"/>
    <w:rsid w:val="008C42A2"/>
    <w:rsid w:val="008C5388"/>
    <w:rsid w:val="008C56AB"/>
    <w:rsid w:val="008D7371"/>
    <w:rsid w:val="008E31A1"/>
    <w:rsid w:val="008E7BF0"/>
    <w:rsid w:val="008F2376"/>
    <w:rsid w:val="00917826"/>
    <w:rsid w:val="009339AD"/>
    <w:rsid w:val="00940776"/>
    <w:rsid w:val="00951B15"/>
    <w:rsid w:val="00952080"/>
    <w:rsid w:val="0095285E"/>
    <w:rsid w:val="00952C86"/>
    <w:rsid w:val="009618EB"/>
    <w:rsid w:val="0096347A"/>
    <w:rsid w:val="00963A56"/>
    <w:rsid w:val="00965EB9"/>
    <w:rsid w:val="00967119"/>
    <w:rsid w:val="009767E8"/>
    <w:rsid w:val="00982FEC"/>
    <w:rsid w:val="00986C3A"/>
    <w:rsid w:val="009A1573"/>
    <w:rsid w:val="009A5ADE"/>
    <w:rsid w:val="009C16F2"/>
    <w:rsid w:val="009D67CE"/>
    <w:rsid w:val="009F0690"/>
    <w:rsid w:val="00A05FAF"/>
    <w:rsid w:val="00A32781"/>
    <w:rsid w:val="00A32800"/>
    <w:rsid w:val="00A37861"/>
    <w:rsid w:val="00A478CF"/>
    <w:rsid w:val="00A5296C"/>
    <w:rsid w:val="00A6046A"/>
    <w:rsid w:val="00A76745"/>
    <w:rsid w:val="00A7734D"/>
    <w:rsid w:val="00A82332"/>
    <w:rsid w:val="00A92416"/>
    <w:rsid w:val="00AB03C4"/>
    <w:rsid w:val="00AB19C3"/>
    <w:rsid w:val="00AB7214"/>
    <w:rsid w:val="00AC0EE3"/>
    <w:rsid w:val="00AC2CAF"/>
    <w:rsid w:val="00AE2B50"/>
    <w:rsid w:val="00AF31A5"/>
    <w:rsid w:val="00B0640A"/>
    <w:rsid w:val="00B07790"/>
    <w:rsid w:val="00B130A9"/>
    <w:rsid w:val="00B131D0"/>
    <w:rsid w:val="00B26BCE"/>
    <w:rsid w:val="00B34748"/>
    <w:rsid w:val="00B36766"/>
    <w:rsid w:val="00B400CB"/>
    <w:rsid w:val="00B442CF"/>
    <w:rsid w:val="00B50C89"/>
    <w:rsid w:val="00B52A63"/>
    <w:rsid w:val="00B715CC"/>
    <w:rsid w:val="00B913FD"/>
    <w:rsid w:val="00B9347F"/>
    <w:rsid w:val="00B97295"/>
    <w:rsid w:val="00BA216B"/>
    <w:rsid w:val="00BA517F"/>
    <w:rsid w:val="00BB01CB"/>
    <w:rsid w:val="00BB08DE"/>
    <w:rsid w:val="00BD5F2C"/>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2E35"/>
    <w:rsid w:val="00CE4467"/>
    <w:rsid w:val="00CE6616"/>
    <w:rsid w:val="00CE7992"/>
    <w:rsid w:val="00CF3703"/>
    <w:rsid w:val="00CF4217"/>
    <w:rsid w:val="00D07923"/>
    <w:rsid w:val="00D12175"/>
    <w:rsid w:val="00D14458"/>
    <w:rsid w:val="00D21788"/>
    <w:rsid w:val="00D3234E"/>
    <w:rsid w:val="00D46637"/>
    <w:rsid w:val="00D471C4"/>
    <w:rsid w:val="00D60842"/>
    <w:rsid w:val="00D76D54"/>
    <w:rsid w:val="00D84623"/>
    <w:rsid w:val="00D848D0"/>
    <w:rsid w:val="00D856EB"/>
    <w:rsid w:val="00D861B7"/>
    <w:rsid w:val="00D9498E"/>
    <w:rsid w:val="00DA3D4E"/>
    <w:rsid w:val="00DA61D7"/>
    <w:rsid w:val="00DC0A6F"/>
    <w:rsid w:val="00DC1172"/>
    <w:rsid w:val="00DC3162"/>
    <w:rsid w:val="00DC65F8"/>
    <w:rsid w:val="00DC7E8C"/>
    <w:rsid w:val="00DE6490"/>
    <w:rsid w:val="00DF5B66"/>
    <w:rsid w:val="00E113E4"/>
    <w:rsid w:val="00E171C4"/>
    <w:rsid w:val="00E20809"/>
    <w:rsid w:val="00E27C7B"/>
    <w:rsid w:val="00E34602"/>
    <w:rsid w:val="00E34A87"/>
    <w:rsid w:val="00E34DF8"/>
    <w:rsid w:val="00E36046"/>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40210"/>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972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13621</Words>
  <Characters>81732</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PC</cp:lastModifiedBy>
  <cp:revision>6</cp:revision>
  <cp:lastPrinted>2025-02-18T11:02:00Z</cp:lastPrinted>
  <dcterms:created xsi:type="dcterms:W3CDTF">2025-02-11T15:36:00Z</dcterms:created>
  <dcterms:modified xsi:type="dcterms:W3CDTF">2025-02-18T11:02:00Z</dcterms:modified>
</cp:coreProperties>
</file>