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1C2D57A7" w:rsidR="00364921" w:rsidRPr="00A76E0B" w:rsidRDefault="006E4919" w:rsidP="0090442C">
      <w:pPr>
        <w:spacing w:line="360" w:lineRule="auto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     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A76E0B">
        <w:rPr>
          <w:rFonts w:ascii="Book Antiqua" w:hAnsi="Book Antiqua" w:cs="Times New Roman"/>
          <w:sz w:val="22"/>
          <w:szCs w:val="22"/>
        </w:rPr>
        <w:t xml:space="preserve">       </w:t>
      </w:r>
      <w:r w:rsidR="006A5EC3">
        <w:rPr>
          <w:rFonts w:ascii="Book Antiqua" w:hAnsi="Book Antiqua" w:cs="Times New Roman"/>
          <w:sz w:val="22"/>
          <w:szCs w:val="22"/>
        </w:rPr>
        <w:t xml:space="preserve">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 xml:space="preserve">Przykona dnia </w:t>
      </w:r>
      <w:r w:rsidR="006A5EC3">
        <w:rPr>
          <w:rFonts w:ascii="Book Antiqua" w:hAnsi="Book Antiqua" w:cs="Times New Roman"/>
          <w:sz w:val="22"/>
          <w:szCs w:val="22"/>
        </w:rPr>
        <w:t>1</w:t>
      </w:r>
      <w:r w:rsidR="007D65A8">
        <w:rPr>
          <w:rFonts w:ascii="Book Antiqua" w:hAnsi="Book Antiqua" w:cs="Times New Roman"/>
          <w:sz w:val="22"/>
          <w:szCs w:val="22"/>
        </w:rPr>
        <w:t>7</w:t>
      </w:r>
      <w:r w:rsidR="006A5EC3">
        <w:rPr>
          <w:rFonts w:ascii="Book Antiqua" w:hAnsi="Book Antiqua" w:cs="Times New Roman"/>
          <w:sz w:val="22"/>
          <w:szCs w:val="22"/>
        </w:rPr>
        <w:t xml:space="preserve"> września </w:t>
      </w:r>
      <w:r w:rsidR="00981E15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>202</w:t>
      </w:r>
      <w:r w:rsidR="006A5EC3">
        <w:rPr>
          <w:rFonts w:ascii="Book Antiqua" w:hAnsi="Book Antiqua" w:cs="Times New Roman"/>
          <w:sz w:val="22"/>
          <w:szCs w:val="22"/>
        </w:rPr>
        <w:t>4</w:t>
      </w:r>
      <w:r w:rsidRPr="00A76E0B">
        <w:rPr>
          <w:rFonts w:ascii="Book Antiqua" w:hAnsi="Book Antiqua" w:cs="Times New Roman"/>
          <w:sz w:val="22"/>
          <w:szCs w:val="22"/>
        </w:rPr>
        <w:t xml:space="preserve"> r. </w:t>
      </w:r>
    </w:p>
    <w:p w14:paraId="5008AEBA" w14:textId="77777777" w:rsidR="006A5EC3" w:rsidRDefault="006A5EC3" w:rsidP="007E3459">
      <w:pPr>
        <w:jc w:val="both"/>
        <w:rPr>
          <w:rFonts w:ascii="Book Antiqua" w:hAnsi="Book Antiqua" w:cs="Times New Roman"/>
          <w:sz w:val="22"/>
          <w:szCs w:val="22"/>
        </w:rPr>
      </w:pPr>
    </w:p>
    <w:p w14:paraId="5DD74227" w14:textId="13D43BD9" w:rsidR="007E3459" w:rsidRPr="00A76E0B" w:rsidRDefault="007E3459" w:rsidP="007E3459">
      <w:pPr>
        <w:jc w:val="both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>RRG.271.</w:t>
      </w:r>
      <w:r w:rsidR="0012062D">
        <w:rPr>
          <w:rFonts w:ascii="Book Antiqua" w:hAnsi="Book Antiqua" w:cs="Times New Roman"/>
          <w:sz w:val="22"/>
          <w:szCs w:val="22"/>
        </w:rPr>
        <w:t>1</w:t>
      </w:r>
      <w:r w:rsidR="006A5EC3">
        <w:rPr>
          <w:rFonts w:ascii="Book Antiqua" w:hAnsi="Book Antiqua" w:cs="Times New Roman"/>
          <w:sz w:val="22"/>
          <w:szCs w:val="22"/>
        </w:rPr>
        <w:t>5</w:t>
      </w:r>
      <w:r w:rsidRPr="00A76E0B">
        <w:rPr>
          <w:rFonts w:ascii="Book Antiqua" w:hAnsi="Book Antiqua" w:cs="Times New Roman"/>
          <w:sz w:val="22"/>
          <w:szCs w:val="22"/>
        </w:rPr>
        <w:t>.202</w:t>
      </w:r>
      <w:r w:rsidR="006A5EC3">
        <w:rPr>
          <w:rFonts w:ascii="Book Antiqua" w:hAnsi="Book Antiqua" w:cs="Times New Roman"/>
          <w:sz w:val="22"/>
          <w:szCs w:val="22"/>
        </w:rPr>
        <w:t>4</w:t>
      </w:r>
    </w:p>
    <w:p w14:paraId="7172961B" w14:textId="4967B66B" w:rsidR="00A764C9" w:rsidRPr="00A76E0B" w:rsidRDefault="00364921" w:rsidP="00981E15">
      <w:pPr>
        <w:jc w:val="both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>(</w:t>
      </w:r>
      <w:r w:rsidRPr="00A76E0B">
        <w:rPr>
          <w:rFonts w:ascii="Book Antiqua" w:hAnsi="Book Antiqua"/>
          <w:i/>
          <w:sz w:val="22"/>
          <w:szCs w:val="22"/>
        </w:rPr>
        <w:t>nr ref. postępowania</w:t>
      </w:r>
      <w:r w:rsidRPr="00A76E0B">
        <w:rPr>
          <w:rFonts w:ascii="Book Antiqua" w:hAnsi="Book Antiqua"/>
          <w:sz w:val="22"/>
          <w:szCs w:val="22"/>
        </w:rPr>
        <w:t>)</w:t>
      </w:r>
    </w:p>
    <w:p w14:paraId="7F3676BC" w14:textId="4CEDB694" w:rsidR="00CB2F09" w:rsidRPr="00A76E0B" w:rsidRDefault="00CB2F09" w:rsidP="00CB2F09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76E0B">
        <w:rPr>
          <w:rFonts w:ascii="Book Antiqua" w:hAnsi="Book Antiqua"/>
          <w:b/>
          <w:sz w:val="28"/>
          <w:szCs w:val="28"/>
        </w:rPr>
        <w:t>Wyjaśnienie treści SWZ</w:t>
      </w:r>
    </w:p>
    <w:p w14:paraId="25A2D6AA" w14:textId="77777777" w:rsidR="006A5EC3" w:rsidRDefault="00CB2F09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C541C7">
        <w:rPr>
          <w:rFonts w:ascii="Book Antiqua" w:hAnsi="Book Antiqua" w:cs="Times New Roman"/>
          <w:sz w:val="22"/>
          <w:szCs w:val="22"/>
        </w:rPr>
        <w:t>Dotyczy</w:t>
      </w:r>
      <w:r w:rsidR="00880B73">
        <w:rPr>
          <w:rFonts w:ascii="Book Antiqua" w:hAnsi="Book Antiqua" w:cs="Times New Roman"/>
          <w:sz w:val="22"/>
          <w:szCs w:val="22"/>
        </w:rPr>
        <w:t>:</w:t>
      </w:r>
      <w:r w:rsidRPr="00C541C7">
        <w:rPr>
          <w:rFonts w:ascii="Book Antiqua" w:hAnsi="Book Antiqua" w:cs="Times New Roman"/>
          <w:sz w:val="22"/>
          <w:szCs w:val="22"/>
        </w:rPr>
        <w:t xml:space="preserve"> postępowania o udzielenie zamówienia publicznego prowadzonego w trybie podstawowym - art 275 pkt 1 Pzp  na: zadanie pn.</w:t>
      </w:r>
      <w:r w:rsidRPr="00C541C7">
        <w:rPr>
          <w:rFonts w:ascii="Book Antiqua" w:eastAsia="Calibri" w:hAnsi="Book Antiqua" w:cs="Times New Roman"/>
          <w:b/>
          <w:sz w:val="22"/>
          <w:szCs w:val="22"/>
          <w:lang w:eastAsia="en-US"/>
        </w:rPr>
        <w:t xml:space="preserve"> 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 xml:space="preserve">„ </w:t>
      </w:r>
    </w:p>
    <w:p w14:paraId="155701FC" w14:textId="77777777" w:rsidR="006A5EC3" w:rsidRDefault="006A5EC3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</w:p>
    <w:p w14:paraId="45F3D585" w14:textId="77777777" w:rsidR="006A5EC3" w:rsidRPr="006A5EC3" w:rsidRDefault="006A5EC3" w:rsidP="006A5EC3">
      <w:pPr>
        <w:spacing w:line="360" w:lineRule="auto"/>
        <w:jc w:val="center"/>
        <w:rPr>
          <w:rFonts w:ascii="Book Antiqua" w:hAnsi="Book Antiqua"/>
        </w:rPr>
      </w:pPr>
      <w:bookmarkStart w:id="0" w:name="_Hlk95739316"/>
      <w:r w:rsidRPr="006A5EC3">
        <w:rPr>
          <w:rFonts w:ascii="Book Antiqua" w:hAnsi="Book Antiqua"/>
          <w:b/>
          <w:bCs/>
          <w:sz w:val="28"/>
          <w:szCs w:val="28"/>
        </w:rPr>
        <w:t>„ Modernizacja oświetlenia drogowego na terenie Gminy Przykona  „</w:t>
      </w:r>
    </w:p>
    <w:bookmarkEnd w:id="0"/>
    <w:p w14:paraId="48A100BC" w14:textId="31DEA31E" w:rsidR="0012062D" w:rsidRPr="00F74048" w:rsidRDefault="00CB2F09" w:rsidP="0012062D">
      <w:pPr>
        <w:widowControl w:val="0"/>
        <w:spacing w:before="100" w:beforeAutospacing="1" w:after="100" w:afterAutospacing="1" w:line="276" w:lineRule="auto"/>
        <w:ind w:firstLine="851"/>
        <w:jc w:val="both"/>
        <w:rPr>
          <w:rFonts w:ascii="Book Antiqua" w:hAnsi="Book Antiqua" w:cs="Times New Roman"/>
          <w:sz w:val="22"/>
          <w:szCs w:val="22"/>
        </w:rPr>
      </w:pPr>
      <w:r w:rsidRPr="00F74048">
        <w:rPr>
          <w:rFonts w:ascii="Book Antiqua" w:hAnsi="Book Antiqua" w:cs="Times New Roman"/>
          <w:sz w:val="22"/>
          <w:szCs w:val="22"/>
        </w:rPr>
        <w:t>Działając w oparciu o art. 28</w:t>
      </w:r>
      <w:r w:rsidR="0012062D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ust. </w:t>
      </w:r>
      <w:r w:rsidR="0012062D" w:rsidRPr="00F74048">
        <w:rPr>
          <w:rFonts w:ascii="Book Antiqua" w:hAnsi="Book Antiqua" w:cs="Times New Roman"/>
          <w:sz w:val="22"/>
          <w:szCs w:val="22"/>
        </w:rPr>
        <w:t>2</w:t>
      </w:r>
      <w:r w:rsidR="009841BA" w:rsidRPr="00F74048">
        <w:rPr>
          <w:rFonts w:ascii="Book Antiqua" w:hAnsi="Book Antiqua" w:cs="Times New Roman"/>
          <w:sz w:val="22"/>
          <w:szCs w:val="22"/>
        </w:rPr>
        <w:t xml:space="preserve"> i </w:t>
      </w:r>
      <w:r w:rsidR="0012062D" w:rsidRPr="00F74048">
        <w:rPr>
          <w:rFonts w:ascii="Book Antiqua" w:hAnsi="Book Antiqua" w:cs="Times New Roman"/>
          <w:sz w:val="22"/>
          <w:szCs w:val="22"/>
        </w:rPr>
        <w:t>6</w:t>
      </w:r>
      <w:r w:rsidRPr="00F74048">
        <w:rPr>
          <w:rFonts w:ascii="Book Antiqua" w:hAnsi="Book Antiqua" w:cs="Times New Roman"/>
          <w:b/>
          <w:bCs/>
          <w:i/>
          <w:iCs/>
          <w:sz w:val="22"/>
          <w:szCs w:val="22"/>
        </w:rPr>
        <w:t xml:space="preserve"> </w:t>
      </w:r>
      <w:r w:rsidRPr="00F74048">
        <w:rPr>
          <w:rFonts w:ascii="Book Antiqua" w:hAnsi="Book Antiqua" w:cs="Times New Roman"/>
          <w:sz w:val="22"/>
          <w:szCs w:val="22"/>
        </w:rPr>
        <w:t>ustawy z dnia 11 września 2019 r. –  Prawo zamówień publicznych ( t.j. Dz.U. z 202</w:t>
      </w:r>
      <w:r w:rsidR="006A5EC3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r. poz. 1</w:t>
      </w:r>
      <w:r w:rsidR="006A5EC3" w:rsidRPr="00F74048">
        <w:rPr>
          <w:rFonts w:ascii="Book Antiqua" w:hAnsi="Book Antiqua" w:cs="Times New Roman"/>
          <w:sz w:val="22"/>
          <w:szCs w:val="22"/>
        </w:rPr>
        <w:t>320</w:t>
      </w:r>
      <w:r w:rsidRPr="00F74048">
        <w:rPr>
          <w:rFonts w:ascii="Book Antiqua" w:hAnsi="Book Antiqua" w:cs="Times New Roman"/>
          <w:sz w:val="22"/>
          <w:szCs w:val="22"/>
        </w:rPr>
        <w:t xml:space="preserve"> ze zm. ), Zamawiający tj. Gmina Przykona przekazuje poniżej wyjaśnienia 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dotyczące treści SWZ </w:t>
      </w:r>
      <w:r w:rsidR="00097F37">
        <w:rPr>
          <w:rFonts w:ascii="Book Antiqua" w:hAnsi="Book Antiqua" w:cs="Times New Roman"/>
          <w:sz w:val="22"/>
          <w:szCs w:val="22"/>
        </w:rPr>
        <w:t xml:space="preserve">udzielone </w:t>
      </w:r>
      <w:r w:rsidR="0012062D" w:rsidRPr="00F74048">
        <w:rPr>
          <w:rFonts w:ascii="Book Antiqua" w:hAnsi="Book Antiqua" w:cs="Times New Roman"/>
          <w:sz w:val="22"/>
          <w:szCs w:val="22"/>
        </w:rPr>
        <w:t>na zapytanie złożone przez Wykonawcę</w:t>
      </w:r>
      <w:r w:rsidR="006A5EC3" w:rsidRPr="00F74048">
        <w:rPr>
          <w:rFonts w:ascii="Book Antiqua" w:hAnsi="Book Antiqua" w:cs="Times New Roman"/>
          <w:sz w:val="22"/>
          <w:szCs w:val="22"/>
        </w:rPr>
        <w:t>.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  </w:t>
      </w:r>
    </w:p>
    <w:p w14:paraId="06106EB4" w14:textId="4D1B1EB3" w:rsidR="00B4048F" w:rsidRPr="00F74048" w:rsidRDefault="0012062D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Pytani</w:t>
      </w:r>
      <w:r w:rsidR="006A5EC3" w:rsidRPr="00F74048">
        <w:rPr>
          <w:rFonts w:ascii="Book Antiqua" w:hAnsi="Book Antiqua"/>
          <w:b/>
          <w:bCs/>
          <w:sz w:val="22"/>
          <w:szCs w:val="22"/>
          <w:u w:val="single"/>
        </w:rPr>
        <w:t>e 1</w:t>
      </w:r>
    </w:p>
    <w:p w14:paraId="7FA8E526" w14:textId="3C9005AC" w:rsidR="006A5EC3" w:rsidRPr="00F74048" w:rsidRDefault="006A5EC3" w:rsidP="00F74048">
      <w:pPr>
        <w:pStyle w:val="Akapitzlist"/>
        <w:widowControl w:val="0"/>
        <w:tabs>
          <w:tab w:val="left" w:pos="0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co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przedstawił</w:t>
      </w:r>
      <w:r w:rsidRPr="00F74048">
        <w:rPr>
          <w:rFonts w:ascii="Book Antiqua" w:hAnsi="Book Antiqua"/>
          <w:spacing w:val="-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zapis:</w:t>
      </w:r>
    </w:p>
    <w:p w14:paraId="509AA3D5" w14:textId="77777777" w:rsidR="00B4048F" w:rsidRPr="00F74048" w:rsidRDefault="006A5EC3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pacing w:val="1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"Gwarancja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producenta na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kompletne oprawy i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dostępność części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zamiennych</w:t>
      </w:r>
      <w:r w:rsidR="00B4048F"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oprawy przez min.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10 lat"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</w:p>
    <w:p w14:paraId="7F832EF3" w14:textId="578BF6D2" w:rsidR="006A5EC3" w:rsidRPr="00F74048" w:rsidRDefault="006A5EC3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natomiast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SWZ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istnieje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:</w:t>
      </w:r>
    </w:p>
    <w:p w14:paraId="1A0908EA" w14:textId="26441A75" w:rsidR="006A5EC3" w:rsidRPr="00F74048" w:rsidRDefault="003844C8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„</w:t>
      </w:r>
      <w:r w:rsidR="006A5EC3" w:rsidRPr="00F74048">
        <w:rPr>
          <w:rFonts w:ascii="Book Antiqua" w:hAnsi="Book Antiqua"/>
          <w:sz w:val="22"/>
          <w:szCs w:val="22"/>
        </w:rPr>
        <w:t>Oferta z okresem gwarancji dłuższym niż 60 m-</w:t>
      </w:r>
      <w:proofErr w:type="spellStart"/>
      <w:r w:rsidR="006A5EC3" w:rsidRPr="00F74048">
        <w:rPr>
          <w:rFonts w:ascii="Book Antiqua" w:hAnsi="Book Antiqua"/>
          <w:sz w:val="22"/>
          <w:szCs w:val="22"/>
        </w:rPr>
        <w:t>cy</w:t>
      </w:r>
      <w:proofErr w:type="spellEnd"/>
      <w:r w:rsidR="006A5EC3" w:rsidRPr="00F74048">
        <w:rPr>
          <w:rFonts w:ascii="Book Antiqua" w:hAnsi="Book Antiqua"/>
          <w:sz w:val="22"/>
          <w:szCs w:val="22"/>
        </w:rPr>
        <w:t xml:space="preserve"> będzie oceniana jako złożona z okresem gwarancji 60</w:t>
      </w:r>
      <w:r w:rsidR="006A5EC3"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="006A5EC3" w:rsidRPr="00F74048">
        <w:rPr>
          <w:rFonts w:ascii="Book Antiqua" w:hAnsi="Book Antiqua"/>
          <w:sz w:val="22"/>
          <w:szCs w:val="22"/>
        </w:rPr>
        <w:t>m-</w:t>
      </w:r>
      <w:proofErr w:type="spellStart"/>
      <w:r w:rsidR="006A5EC3" w:rsidRPr="00F74048">
        <w:rPr>
          <w:rFonts w:ascii="Book Antiqua" w:hAnsi="Book Antiqua"/>
          <w:sz w:val="22"/>
          <w:szCs w:val="22"/>
        </w:rPr>
        <w:t>cy</w:t>
      </w:r>
      <w:proofErr w:type="spellEnd"/>
      <w:r w:rsidR="006A5EC3" w:rsidRPr="00F74048">
        <w:rPr>
          <w:rFonts w:ascii="Book Antiqua" w:hAnsi="Book Antiqua"/>
          <w:sz w:val="22"/>
          <w:szCs w:val="22"/>
        </w:rPr>
        <w:t>.</w:t>
      </w:r>
      <w:r w:rsidRPr="00F74048">
        <w:rPr>
          <w:rFonts w:ascii="Book Antiqua" w:hAnsi="Book Antiqua"/>
          <w:sz w:val="22"/>
          <w:szCs w:val="22"/>
        </w:rPr>
        <w:t>”</w:t>
      </w:r>
    </w:p>
    <w:p w14:paraId="474384F6" w14:textId="77777777" w:rsidR="00080ABD" w:rsidRPr="00F74048" w:rsidRDefault="006A5EC3" w:rsidP="00F74048">
      <w:pPr>
        <w:widowControl w:val="0"/>
        <w:tabs>
          <w:tab w:val="left" w:pos="0"/>
        </w:tabs>
        <w:spacing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Prosimy</w:t>
      </w:r>
      <w:r w:rsidRPr="00F74048">
        <w:rPr>
          <w:rFonts w:ascii="Book Antiqua" w:hAnsi="Book Antiqua"/>
          <w:spacing w:val="-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doprecyzowanie</w:t>
      </w:r>
    </w:p>
    <w:p w14:paraId="514D5B0E" w14:textId="2EC7EFB3" w:rsidR="00B4048F" w:rsidRPr="00F74048" w:rsidRDefault="00B4048F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  <w:u w:val="single"/>
        </w:rPr>
        <w:t xml:space="preserve">Odpowiedz </w:t>
      </w:r>
    </w:p>
    <w:p w14:paraId="447349BD" w14:textId="6F9F0E89" w:rsidR="002054AE" w:rsidRPr="00F74048" w:rsidRDefault="007E6B3F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Zgodnie z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podrozdziałem </w:t>
      </w:r>
      <w:r w:rsidR="007D65A8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w 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Specyfikacji Warunków Zamówienia ( str.25 )  </w:t>
      </w: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pn.„ Opis kryteriów oceny ofert wraz z podaniem wagi tych kryteriów i sposobu oceny ofert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„</w:t>
      </w: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długość okresu gwarancji na powyższe roboty budowlane </w:t>
      </w:r>
      <w:r w:rsidR="00D62B5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jest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jednym z kryteriów wyboru najkorzystniejszej oferty </w:t>
      </w:r>
      <w:r w:rsidR="00D62B5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którego w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aga wynosi 40 %</w:t>
      </w:r>
      <w:r w:rsidR="00D62B5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. 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</w:t>
      </w:r>
    </w:p>
    <w:p w14:paraId="68CCA7F7" w14:textId="421D56AC" w:rsidR="007E6B3F" w:rsidRPr="00F74048" w:rsidRDefault="00D62B5E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W powyższym kryterium m</w:t>
      </w:r>
      <w:r w:rsidR="003844C8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inim</w:t>
      </w:r>
      <w:r w:rsidR="007E6B3F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alny okres gwarancji wynosi </w:t>
      </w:r>
      <w:r w:rsidR="003844C8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36 </w:t>
      </w:r>
      <w:r w:rsidR="007E6B3F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miesięcy</w:t>
      </w:r>
      <w:r w:rsidR="003844C8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a </w:t>
      </w:r>
      <w:r w:rsidR="007E6B3F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maksymalny okres 60 miesięcy</w:t>
      </w:r>
      <w:r w:rsidR="002054AE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. </w:t>
      </w:r>
    </w:p>
    <w:p w14:paraId="05CAF235" w14:textId="792C4895" w:rsidR="00D62B5E" w:rsidRPr="00F74048" w:rsidRDefault="00D62B5E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Z uwagi na rozbieżność SWZ a zapisami występującymi w opisie przedmiotu zamówienia</w:t>
      </w: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br/>
        <w:t xml:space="preserve">( załącznik nr 1 do SWZ ) skreśla się pkt 44 w wymaganych cechach oprawy oraz pkt 2 </w:t>
      </w:r>
      <w:r w:rsidR="00613F83" w:rsidRPr="00F74048">
        <w:rPr>
          <w:rFonts w:ascii="Book Antiqua" w:eastAsia="Calibri" w:hAnsi="Book Antiqua" w:cs="Times New Roman"/>
          <w:sz w:val="22"/>
          <w:szCs w:val="22"/>
          <w:lang w:eastAsia="pl-PL"/>
        </w:rPr>
        <w:br/>
      </w:r>
      <w:r w:rsidRPr="00F74048">
        <w:rPr>
          <w:rFonts w:ascii="Book Antiqua" w:eastAsia="Calibri" w:hAnsi="Book Antiqua" w:cs="Times New Roman"/>
          <w:sz w:val="22"/>
          <w:szCs w:val="22"/>
          <w:lang w:eastAsia="pl-PL"/>
        </w:rPr>
        <w:t>w wymaganych parametrach technicznych i konstrukcyjnych dla parkowych opraw LED</w:t>
      </w:r>
      <w:r w:rsidR="00080ABD" w:rsidRPr="00F74048"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. </w:t>
      </w:r>
    </w:p>
    <w:p w14:paraId="5C8974E4" w14:textId="77777777" w:rsidR="007E6B3F" w:rsidRPr="00F74048" w:rsidRDefault="007E6B3F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</w:p>
    <w:p w14:paraId="25460F94" w14:textId="77777777" w:rsidR="007E6B3F" w:rsidRPr="00F74048" w:rsidRDefault="007E6B3F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color w:val="FF0000"/>
          <w:sz w:val="22"/>
          <w:szCs w:val="22"/>
          <w:lang w:eastAsia="pl-PL"/>
        </w:rPr>
      </w:pPr>
    </w:p>
    <w:p w14:paraId="551F5EF5" w14:textId="77777777" w:rsidR="007E6B3F" w:rsidRPr="00F74048" w:rsidRDefault="007E6B3F" w:rsidP="00F74048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color w:val="FF0000"/>
          <w:sz w:val="22"/>
          <w:szCs w:val="22"/>
          <w:lang w:eastAsia="pl-PL"/>
        </w:rPr>
      </w:pPr>
    </w:p>
    <w:p w14:paraId="24FD493E" w14:textId="1EFD0719" w:rsidR="006A5EC3" w:rsidRPr="00F74048" w:rsidRDefault="00F74048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P</w:t>
      </w:r>
      <w:r w:rsidR="006A5EC3"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ytanie 2 </w:t>
      </w:r>
    </w:p>
    <w:p w14:paraId="0377E6F8" w14:textId="77F3E2A6" w:rsidR="00B4048F" w:rsidRPr="00F74048" w:rsidRDefault="00B4048F" w:rsidP="00F74048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drogowych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umieścił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zapis:</w:t>
      </w:r>
    </w:p>
    <w:p w14:paraId="3D5E166C" w14:textId="6B390BB7" w:rsidR="00B4048F" w:rsidRPr="00F74048" w:rsidRDefault="00080ABD" w:rsidP="00F74048">
      <w:pPr>
        <w:pStyle w:val="Tekstpodstawowy"/>
        <w:tabs>
          <w:tab w:val="left" w:pos="0"/>
        </w:tabs>
        <w:spacing w:before="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„</w:t>
      </w:r>
      <w:r w:rsidR="00B4048F" w:rsidRPr="00F74048">
        <w:rPr>
          <w:rFonts w:ascii="Book Antiqua" w:hAnsi="Book Antiqua"/>
          <w:sz w:val="22"/>
          <w:szCs w:val="22"/>
        </w:rPr>
        <w:t>Obudowa wraz z uchwytem, a także klipsy, dociski, zawiasy oraz wszelkie inne metalowe elementy</w:t>
      </w:r>
      <w:r w:rsidR="00B4048F"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konstrukcyjne narażone na działanie czynników zewnętrznych, zabezpieczone powinny być w technice</w:t>
      </w:r>
      <w:r w:rsidR="00B4048F"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proszkowej,</w:t>
      </w:r>
      <w:r w:rsidR="00B4048F"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lakierowane</w:t>
      </w:r>
      <w:r w:rsidR="00B4048F"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na</w:t>
      </w:r>
      <w:r w:rsidR="00B4048F"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kolor</w:t>
      </w:r>
      <w:r w:rsidR="00B4048F"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szary</w:t>
      </w:r>
      <w:r w:rsidR="00B4048F"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="00B4048F" w:rsidRPr="00F74048">
        <w:rPr>
          <w:rFonts w:ascii="Book Antiqua" w:hAnsi="Book Antiqua"/>
          <w:sz w:val="22"/>
          <w:szCs w:val="22"/>
        </w:rPr>
        <w:t>RAL9006.</w:t>
      </w:r>
      <w:r w:rsidRPr="00F74048">
        <w:rPr>
          <w:rFonts w:ascii="Book Antiqua" w:hAnsi="Book Antiqua"/>
          <w:sz w:val="22"/>
          <w:szCs w:val="22"/>
        </w:rPr>
        <w:t>”</w:t>
      </w:r>
    </w:p>
    <w:p w14:paraId="5D8F136F" w14:textId="77777777" w:rsidR="00B4048F" w:rsidRPr="00F74048" w:rsidRDefault="00B4048F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Czy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dopuści</w:t>
      </w:r>
      <w:r w:rsidRPr="00F74048">
        <w:rPr>
          <w:rFonts w:ascii="Book Antiqua" w:hAnsi="Book Antiqua"/>
          <w:spacing w:val="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kolor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RAL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zbliżony</w:t>
      </w:r>
      <w:r w:rsidRPr="00F74048">
        <w:rPr>
          <w:rFonts w:ascii="Book Antiqua" w:hAnsi="Book Antiqua"/>
          <w:spacing w:val="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podanego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np.</w:t>
      </w:r>
      <w:r w:rsidRPr="00F74048">
        <w:rPr>
          <w:rFonts w:ascii="Book Antiqua" w:hAnsi="Book Antiqua"/>
          <w:spacing w:val="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9007,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9023,</w:t>
      </w:r>
      <w:r w:rsidRPr="00F74048">
        <w:rPr>
          <w:rFonts w:ascii="Book Antiqua" w:hAnsi="Book Antiqua"/>
          <w:spacing w:val="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7040?</w:t>
      </w:r>
    </w:p>
    <w:p w14:paraId="19705067" w14:textId="77777777" w:rsidR="00B4048F" w:rsidRPr="00F74048" w:rsidRDefault="00B4048F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549B7FA" w14:textId="548859DB" w:rsidR="00B4048F" w:rsidRPr="00F74048" w:rsidRDefault="00B4048F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Odpowiedz</w:t>
      </w:r>
    </w:p>
    <w:p w14:paraId="4E2261F3" w14:textId="77777777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 dopuszcza kolor zbliżony do podanego np. RAL 9007, 9023, 7040.</w:t>
      </w:r>
    </w:p>
    <w:p w14:paraId="6FA08FFD" w14:textId="77777777" w:rsidR="00080ABD" w:rsidRPr="00F74048" w:rsidRDefault="00080ABD" w:rsidP="00F74048">
      <w:pPr>
        <w:widowControl w:val="0"/>
        <w:spacing w:before="100" w:beforeAutospacing="1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EED07EA" w14:textId="7D603A11" w:rsidR="00B4048F" w:rsidRPr="00F74048" w:rsidRDefault="00B4048F" w:rsidP="00F74048">
      <w:pPr>
        <w:widowControl w:val="0"/>
        <w:spacing w:before="100" w:beforeAutospacing="1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Pytanie 3 </w:t>
      </w:r>
    </w:p>
    <w:p w14:paraId="311AF28C" w14:textId="5F4D15AA" w:rsidR="00B4048F" w:rsidRPr="00F74048" w:rsidRDefault="00B4048F" w:rsidP="00F74048">
      <w:pPr>
        <w:widowControl w:val="0"/>
        <w:tabs>
          <w:tab w:val="left" w:pos="0"/>
        </w:tabs>
        <w:autoSpaceDE w:val="0"/>
        <w:autoSpaceDN w:val="0"/>
        <w:spacing w:before="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wskazał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drogowych,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zapis:</w:t>
      </w:r>
    </w:p>
    <w:p w14:paraId="7AE43FE8" w14:textId="5FF2C86A" w:rsidR="00B4048F" w:rsidRPr="00F74048" w:rsidRDefault="00B4048F" w:rsidP="00F74048">
      <w:pPr>
        <w:pStyle w:val="Tekstpodstawowy"/>
        <w:tabs>
          <w:tab w:val="left" w:pos="0"/>
        </w:tabs>
        <w:spacing w:before="30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"Uchwyt montażowy zintegrowany z oprawą, pozwalający na skokową regulację kąta wychylenia z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krokiem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co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5°,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zakresie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minimum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od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0°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+15°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przy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montażu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słupie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i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-30°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+15°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przy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montażu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wysięgniku."</w:t>
      </w:r>
    </w:p>
    <w:p w14:paraId="21749880" w14:textId="77777777" w:rsidR="00B4048F" w:rsidRPr="00F74048" w:rsidRDefault="00B4048F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Czy Zamawiający dopuści oprawy drogowe z regulację kąta wychylenia z krokiem co 5°, w zakresie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minimum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od-20°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+20°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przy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montażu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słupie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lub</w:t>
      </w:r>
      <w:r w:rsidRPr="00F74048">
        <w:rPr>
          <w:rFonts w:ascii="Book Antiqua" w:hAnsi="Book Antiqua"/>
          <w:spacing w:val="-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wysięgnika?</w:t>
      </w:r>
    </w:p>
    <w:p w14:paraId="05F2A267" w14:textId="77777777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346FEA2" w14:textId="0DEC0772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Odpowiedz</w:t>
      </w:r>
    </w:p>
    <w:p w14:paraId="15D91E18" w14:textId="068358CE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 dopuszcza oprawy drogowe z regulacją konta wychylenia z krokiem co 5</w:t>
      </w:r>
      <w:r w:rsidRPr="00F74048">
        <w:rPr>
          <w:rFonts w:ascii="Book Antiqua" w:hAnsi="Book Antiqua"/>
          <w:sz w:val="22"/>
          <w:szCs w:val="22"/>
          <w:vertAlign w:val="superscript"/>
        </w:rPr>
        <w:t>o</w:t>
      </w:r>
      <w:r w:rsidRPr="00F74048">
        <w:rPr>
          <w:rFonts w:ascii="Book Antiqua" w:hAnsi="Book Antiqua"/>
          <w:sz w:val="22"/>
          <w:szCs w:val="22"/>
        </w:rPr>
        <w:t>, w zakresie minimum od 0</w:t>
      </w:r>
      <w:r w:rsidRPr="00F74048">
        <w:rPr>
          <w:rFonts w:ascii="Book Antiqua" w:hAnsi="Book Antiqua"/>
          <w:sz w:val="22"/>
          <w:szCs w:val="22"/>
          <w:vertAlign w:val="superscript"/>
        </w:rPr>
        <w:t>o</w:t>
      </w:r>
      <w:r w:rsidRPr="00F74048">
        <w:rPr>
          <w:rFonts w:ascii="Book Antiqua" w:hAnsi="Book Antiqua"/>
          <w:sz w:val="22"/>
          <w:szCs w:val="22"/>
        </w:rPr>
        <w:t xml:space="preserve"> do +15</w:t>
      </w:r>
      <w:r w:rsidRPr="00F74048">
        <w:rPr>
          <w:rFonts w:ascii="Book Antiqua" w:hAnsi="Book Antiqua"/>
          <w:sz w:val="22"/>
          <w:szCs w:val="22"/>
          <w:vertAlign w:val="superscript"/>
        </w:rPr>
        <w:t>o</w:t>
      </w:r>
      <w:r w:rsidRPr="00F74048">
        <w:rPr>
          <w:rFonts w:ascii="Book Antiqua" w:hAnsi="Book Antiqua"/>
          <w:sz w:val="22"/>
          <w:szCs w:val="22"/>
        </w:rPr>
        <w:t xml:space="preserve"> przy montażu na słupie, natomiast przy montażu na wysięgniku w zakresie minimum -30</w:t>
      </w:r>
      <w:r w:rsidRPr="00F74048">
        <w:rPr>
          <w:rFonts w:ascii="Book Antiqua" w:hAnsi="Book Antiqua"/>
          <w:sz w:val="22"/>
          <w:szCs w:val="22"/>
          <w:vertAlign w:val="superscript"/>
        </w:rPr>
        <w:t>o</w:t>
      </w:r>
      <w:r w:rsidRPr="00F74048">
        <w:rPr>
          <w:rFonts w:ascii="Book Antiqua" w:hAnsi="Book Antiqua"/>
          <w:sz w:val="22"/>
          <w:szCs w:val="22"/>
        </w:rPr>
        <w:t xml:space="preserve"> do +15</w:t>
      </w:r>
      <w:r w:rsidRPr="00F74048">
        <w:rPr>
          <w:rFonts w:ascii="Book Antiqua" w:hAnsi="Book Antiqua"/>
          <w:sz w:val="22"/>
          <w:szCs w:val="22"/>
          <w:vertAlign w:val="superscript"/>
        </w:rPr>
        <w:t>o</w:t>
      </w:r>
      <w:r w:rsidRPr="00F74048">
        <w:rPr>
          <w:rFonts w:ascii="Book Antiqua" w:hAnsi="Book Antiqua"/>
          <w:sz w:val="22"/>
          <w:szCs w:val="22"/>
        </w:rPr>
        <w:t xml:space="preserve">. </w:t>
      </w:r>
    </w:p>
    <w:p w14:paraId="379F0E55" w14:textId="77777777" w:rsidR="00F020DF" w:rsidRPr="00F74048" w:rsidRDefault="00F020DF" w:rsidP="00F74048">
      <w:pPr>
        <w:pStyle w:val="Tekstpodstawowy"/>
        <w:tabs>
          <w:tab w:val="left" w:pos="0"/>
        </w:tabs>
        <w:spacing w:line="276" w:lineRule="auto"/>
        <w:rPr>
          <w:rFonts w:ascii="Book Antiqua" w:hAnsi="Book Antiqua"/>
          <w:color w:val="FF0000"/>
          <w:sz w:val="22"/>
          <w:szCs w:val="22"/>
        </w:rPr>
      </w:pPr>
    </w:p>
    <w:p w14:paraId="2708813E" w14:textId="77777777" w:rsidR="00613F83" w:rsidRPr="00F74048" w:rsidRDefault="00613F83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color w:val="FF0000"/>
          <w:sz w:val="22"/>
          <w:szCs w:val="22"/>
          <w:u w:val="single"/>
        </w:rPr>
      </w:pPr>
    </w:p>
    <w:p w14:paraId="04A7C779" w14:textId="3B437C68" w:rsidR="006A5EC3" w:rsidRPr="00F74048" w:rsidRDefault="00B4048F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Pytanie 4 </w:t>
      </w:r>
    </w:p>
    <w:p w14:paraId="6B2A44F2" w14:textId="3BB9E6C9" w:rsidR="00B4048F" w:rsidRPr="00F74048" w:rsidRDefault="00B4048F" w:rsidP="00F74048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co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drogowych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umieścił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:</w:t>
      </w:r>
    </w:p>
    <w:p w14:paraId="5B53A39E" w14:textId="6BF5A79F" w:rsidR="00B4048F" w:rsidRPr="00F74048" w:rsidRDefault="00B4048F" w:rsidP="00F74048">
      <w:pPr>
        <w:pStyle w:val="Tekstpodstawowy"/>
        <w:tabs>
          <w:tab w:val="left" w:pos="0"/>
        </w:tabs>
        <w:spacing w:before="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"Dostęp do komory elektrycznej, ze względów bezpieczeństwa możliwy w sposób </w:t>
      </w:r>
      <w:proofErr w:type="spellStart"/>
      <w:r w:rsidRPr="00F74048">
        <w:rPr>
          <w:rFonts w:ascii="Book Antiqua" w:hAnsi="Book Antiqua"/>
          <w:sz w:val="22"/>
          <w:szCs w:val="22"/>
        </w:rPr>
        <w:t>beznarzędziowy</w:t>
      </w:r>
      <w:proofErr w:type="spellEnd"/>
      <w:r w:rsidRPr="00F74048">
        <w:rPr>
          <w:rFonts w:ascii="Book Antiqua" w:hAnsi="Book Antiqua"/>
          <w:sz w:val="22"/>
          <w:szCs w:val="22"/>
        </w:rPr>
        <w:t>, przy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użyciu minimum dwóch niezależnych od siebie klipsów lub zatrzasków jednocześnie Zamawiający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wymaga: dla potrzeb ochrony przed wandalizmem, oprawa powinna oferować możliwość niezależnego,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trwałego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zabezpieczenia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dostępu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komory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elektrycznej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śrubami,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linką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lub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plombą."</w:t>
      </w:r>
    </w:p>
    <w:p w14:paraId="754A119D" w14:textId="6A70F8F8" w:rsidR="00B4048F" w:rsidRPr="00F74048" w:rsidRDefault="00B4048F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Te dwa zapisy się wykluczają jeżeli dostęp ma być </w:t>
      </w:r>
      <w:proofErr w:type="spellStart"/>
      <w:r w:rsidRPr="00F74048">
        <w:rPr>
          <w:rFonts w:ascii="Book Antiqua" w:hAnsi="Book Antiqua"/>
          <w:sz w:val="22"/>
          <w:szCs w:val="22"/>
        </w:rPr>
        <w:t>beznarzędziowy</w:t>
      </w:r>
      <w:proofErr w:type="spellEnd"/>
      <w:r w:rsidRPr="00F74048">
        <w:rPr>
          <w:rFonts w:ascii="Book Antiqua" w:hAnsi="Book Antiqua"/>
          <w:sz w:val="22"/>
          <w:szCs w:val="22"/>
        </w:rPr>
        <w:t xml:space="preserve"> a trwale zabezpieczymy go śrubami,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lub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linką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lub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plombą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-</w:t>
      </w:r>
      <w:r w:rsidR="00080ABD" w:rsidRPr="00F74048">
        <w:rPr>
          <w:rFonts w:ascii="Book Antiqua" w:hAnsi="Book Antiqua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nie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będziemy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stanie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bez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użycia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narzędzi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dostać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się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do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komory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elektrycznej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-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prosimy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ujednolicenie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zapisu.</w:t>
      </w:r>
    </w:p>
    <w:p w14:paraId="196BAB71" w14:textId="77777777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21830F5" w14:textId="63DAA824" w:rsidR="00704D29" w:rsidRPr="00F74048" w:rsidRDefault="00704D29" w:rsidP="00F74048">
      <w:pPr>
        <w:pStyle w:val="Tekstpodstawowy"/>
        <w:tabs>
          <w:tab w:val="left" w:pos="0"/>
        </w:tabs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Odpowiedz</w:t>
      </w:r>
    </w:p>
    <w:p w14:paraId="3ECA42C3" w14:textId="24D0E0EE" w:rsidR="00704D29" w:rsidRPr="00F74048" w:rsidRDefault="00704D29" w:rsidP="00F74048">
      <w:pPr>
        <w:pStyle w:val="Tekstpodstawowy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Dostęp do komory elektrycznej oprawy winien być możliwy w sposób </w:t>
      </w:r>
      <w:proofErr w:type="spellStart"/>
      <w:r w:rsidRPr="00F74048">
        <w:rPr>
          <w:rFonts w:ascii="Book Antiqua" w:hAnsi="Book Antiqua"/>
          <w:sz w:val="22"/>
          <w:szCs w:val="22"/>
        </w:rPr>
        <w:t>beznarzędziowy</w:t>
      </w:r>
      <w:proofErr w:type="spellEnd"/>
      <w:r w:rsidRPr="00F74048">
        <w:rPr>
          <w:rFonts w:ascii="Book Antiqua" w:hAnsi="Book Antiqua"/>
          <w:sz w:val="22"/>
          <w:szCs w:val="22"/>
        </w:rPr>
        <w:t>. Zamawiający wymaga doda</w:t>
      </w:r>
      <w:r w:rsidR="00F020DF" w:rsidRPr="00F74048">
        <w:rPr>
          <w:rFonts w:ascii="Book Antiqua" w:hAnsi="Book Antiqua"/>
          <w:sz w:val="22"/>
          <w:szCs w:val="22"/>
        </w:rPr>
        <w:t>t</w:t>
      </w:r>
      <w:r w:rsidRPr="00F74048">
        <w:rPr>
          <w:rFonts w:ascii="Book Antiqua" w:hAnsi="Book Antiqua"/>
          <w:sz w:val="22"/>
          <w:szCs w:val="22"/>
        </w:rPr>
        <w:t>kowo by oprawa zawierała możliwość zabezpieczenia oprawy np. skręcenie na śrubę w przypadku otwarcia oprawy przez silny wiatr.</w:t>
      </w:r>
    </w:p>
    <w:p w14:paraId="498F3D49" w14:textId="77777777" w:rsidR="00704D29" w:rsidRPr="00F74048" w:rsidRDefault="00704D29" w:rsidP="00F74048">
      <w:pPr>
        <w:pStyle w:val="Tekstpodstawowy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12DB6AA0" w14:textId="77777777" w:rsidR="005A06BB" w:rsidRPr="00F74048" w:rsidRDefault="005A06BB" w:rsidP="00F74048">
      <w:pPr>
        <w:pStyle w:val="Tekstpodstawowy"/>
        <w:spacing w:line="276" w:lineRule="auto"/>
        <w:jc w:val="both"/>
        <w:rPr>
          <w:rFonts w:ascii="Book Antiqua" w:hAnsi="Book Antiqua"/>
          <w:b/>
          <w:bCs/>
          <w:color w:val="FF0000"/>
          <w:sz w:val="22"/>
          <w:szCs w:val="22"/>
          <w:u w:val="single"/>
        </w:rPr>
      </w:pPr>
    </w:p>
    <w:p w14:paraId="51867E3F" w14:textId="60D62878" w:rsidR="00B4048F" w:rsidRPr="00F74048" w:rsidRDefault="00B4048F" w:rsidP="00F74048">
      <w:pPr>
        <w:pStyle w:val="Tekstpodstawowy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lastRenderedPageBreak/>
        <w:t xml:space="preserve">Pytanie 5 </w:t>
      </w:r>
    </w:p>
    <w:p w14:paraId="0AB51AF6" w14:textId="6A066298" w:rsidR="00B4048F" w:rsidRPr="00F74048" w:rsidRDefault="00B4048F" w:rsidP="00F74048">
      <w:pPr>
        <w:widowControl w:val="0"/>
        <w:tabs>
          <w:tab w:val="left" w:pos="414"/>
        </w:tabs>
        <w:autoSpaceDE w:val="0"/>
        <w:autoSpaceDN w:val="0"/>
        <w:spacing w:before="78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umieścił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parkowych:</w:t>
      </w:r>
    </w:p>
    <w:p w14:paraId="5CC9296B" w14:textId="2D1A125F" w:rsidR="00B4048F" w:rsidRPr="00F74048" w:rsidRDefault="00B4048F" w:rsidP="00F74048">
      <w:pPr>
        <w:pStyle w:val="Tekstpodstawowy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"Odporność</w:t>
      </w:r>
      <w:r w:rsidRPr="00F74048">
        <w:rPr>
          <w:rFonts w:ascii="Book Antiqua" w:hAnsi="Book Antiqua"/>
          <w:spacing w:val="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</w:t>
      </w:r>
      <w:r w:rsidRPr="00F74048">
        <w:rPr>
          <w:rFonts w:ascii="Book Antiqua" w:hAnsi="Book Antiqua"/>
          <w:spacing w:val="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udary</w:t>
      </w:r>
      <w:r w:rsidRPr="00F74048">
        <w:rPr>
          <w:rFonts w:ascii="Book Antiqua" w:hAnsi="Book Antiqua"/>
          <w:spacing w:val="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mechaniczne</w:t>
      </w:r>
      <w:r w:rsidRPr="00F74048">
        <w:rPr>
          <w:rFonts w:ascii="Book Antiqua" w:hAnsi="Book Antiqua"/>
          <w:spacing w:val="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całej</w:t>
      </w:r>
      <w:r w:rsidRPr="00F74048">
        <w:rPr>
          <w:rFonts w:ascii="Book Antiqua" w:hAnsi="Book Antiqua"/>
          <w:spacing w:val="8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oprawy</w:t>
      </w:r>
      <w:r w:rsidRPr="00F74048">
        <w:rPr>
          <w:rFonts w:ascii="Book Antiqua" w:hAnsi="Book Antiqua"/>
          <w:spacing w:val="6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IK10"</w:t>
      </w:r>
    </w:p>
    <w:p w14:paraId="2C46E6CF" w14:textId="77777777" w:rsidR="00B4048F" w:rsidRPr="00F74048" w:rsidRDefault="00B4048F" w:rsidP="00F74048">
      <w:pPr>
        <w:pStyle w:val="Tekstpodstawowy"/>
        <w:spacing w:before="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Natomiast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drogowych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wymaga</w:t>
      </w:r>
      <w:r w:rsidRPr="00F74048">
        <w:rPr>
          <w:rFonts w:ascii="Book Antiqua" w:hAnsi="Book Antiqua"/>
          <w:spacing w:val="2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:</w:t>
      </w:r>
    </w:p>
    <w:p w14:paraId="5AA14465" w14:textId="77777777" w:rsidR="005A06BB" w:rsidRPr="00F74048" w:rsidRDefault="00B4048F" w:rsidP="00F74048">
      <w:pPr>
        <w:pStyle w:val="Tekstpodstawowy"/>
        <w:spacing w:before="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"Odporność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na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udary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mechaniczne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całej</w:t>
      </w:r>
      <w:r w:rsidRPr="00F74048">
        <w:rPr>
          <w:rFonts w:ascii="Book Antiqua" w:hAnsi="Book Antiqua"/>
          <w:spacing w:val="5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oprawy</w:t>
      </w:r>
      <w:r w:rsidRPr="00F74048">
        <w:rPr>
          <w:rFonts w:ascii="Book Antiqua" w:hAnsi="Book Antiqua"/>
          <w:spacing w:val="5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min.</w:t>
      </w:r>
      <w:r w:rsidRPr="00F74048">
        <w:rPr>
          <w:rFonts w:ascii="Book Antiqua" w:hAnsi="Book Antiqua"/>
          <w:spacing w:val="57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IK09"</w:t>
      </w:r>
      <w:r w:rsidR="005A06BB" w:rsidRPr="00F74048">
        <w:rPr>
          <w:rFonts w:ascii="Book Antiqua" w:hAnsi="Book Antiqua"/>
          <w:sz w:val="22"/>
          <w:szCs w:val="22"/>
        </w:rPr>
        <w:t xml:space="preserve"> </w:t>
      </w:r>
    </w:p>
    <w:p w14:paraId="37114D1F" w14:textId="3538A508" w:rsidR="00B4048F" w:rsidRPr="00F74048" w:rsidRDefault="00B4048F" w:rsidP="00F74048">
      <w:pPr>
        <w:pStyle w:val="Tekstpodstawowy"/>
        <w:spacing w:before="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Czy Zamawiający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nie popełnił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błędnego umieszczenia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zapisów</w:t>
      </w:r>
      <w:r w:rsidR="005A06BB" w:rsidRPr="00F74048">
        <w:rPr>
          <w:rFonts w:ascii="Book Antiqua" w:hAnsi="Book Antiqua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?</w:t>
      </w:r>
    </w:p>
    <w:p w14:paraId="2DC86166" w14:textId="77C9AA76" w:rsidR="00B4048F" w:rsidRPr="00F74048" w:rsidRDefault="00B4048F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Ewentualnie czy Zamawiający dopuści oprawy parkowe o odporności na udary mechaniczne całej oprawy</w:t>
      </w:r>
      <w:r w:rsidR="005A06BB" w:rsidRPr="00F74048">
        <w:rPr>
          <w:rFonts w:ascii="Book Antiqua" w:hAnsi="Book Antiqua"/>
          <w:sz w:val="22"/>
          <w:szCs w:val="22"/>
        </w:rPr>
        <w:t xml:space="preserve"> 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IK09?</w:t>
      </w:r>
    </w:p>
    <w:p w14:paraId="3965D62B" w14:textId="77777777" w:rsidR="00704D29" w:rsidRPr="00F74048" w:rsidRDefault="00704D29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</w:p>
    <w:p w14:paraId="0F0E98D9" w14:textId="2A68BE25" w:rsidR="00704D29" w:rsidRPr="00F74048" w:rsidRDefault="00704D29" w:rsidP="00F74048">
      <w:pPr>
        <w:pStyle w:val="Tekstpodstawowy"/>
        <w:spacing w:before="32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Odpowiedz</w:t>
      </w:r>
    </w:p>
    <w:p w14:paraId="2753C46D" w14:textId="1ED6E074" w:rsidR="00704D29" w:rsidRPr="00F74048" w:rsidRDefault="00704D29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Dla opraw parkowych odporność na udary mechaniczne całej oprawy </w:t>
      </w:r>
      <w:r w:rsidR="005A06BB" w:rsidRPr="00F74048">
        <w:rPr>
          <w:rFonts w:ascii="Book Antiqua" w:hAnsi="Book Antiqua"/>
          <w:sz w:val="22"/>
          <w:szCs w:val="22"/>
        </w:rPr>
        <w:t xml:space="preserve">powinna wynosić </w:t>
      </w:r>
      <w:r w:rsidRPr="00F74048">
        <w:rPr>
          <w:rFonts w:ascii="Book Antiqua" w:hAnsi="Book Antiqua"/>
          <w:sz w:val="22"/>
          <w:szCs w:val="22"/>
        </w:rPr>
        <w:t>min.  IK10 ze względu na stosunkowo niski montaż i narażenie oprawy na akty wandalizmu.</w:t>
      </w:r>
    </w:p>
    <w:p w14:paraId="53A34251" w14:textId="5067B286" w:rsidR="00704D29" w:rsidRPr="00F74048" w:rsidRDefault="005A06BB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Natomiast d</w:t>
      </w:r>
      <w:r w:rsidR="00704D29" w:rsidRPr="00F74048">
        <w:rPr>
          <w:rFonts w:ascii="Book Antiqua" w:hAnsi="Book Antiqua"/>
          <w:sz w:val="22"/>
          <w:szCs w:val="22"/>
        </w:rPr>
        <w:t xml:space="preserve">la opraw drogowych </w:t>
      </w:r>
      <w:r w:rsidR="00080ABD" w:rsidRPr="00F74048">
        <w:rPr>
          <w:rFonts w:ascii="Book Antiqua" w:hAnsi="Book Antiqua"/>
          <w:sz w:val="22"/>
          <w:szCs w:val="22"/>
        </w:rPr>
        <w:t xml:space="preserve">montowanych na wysięgniku </w:t>
      </w:r>
      <w:r w:rsidR="00704D29" w:rsidRPr="00F74048">
        <w:rPr>
          <w:rFonts w:ascii="Book Antiqua" w:hAnsi="Book Antiqua"/>
          <w:sz w:val="22"/>
          <w:szCs w:val="22"/>
        </w:rPr>
        <w:t xml:space="preserve">odporność na udary mechaniczne </w:t>
      </w:r>
      <w:r w:rsidRPr="00F74048">
        <w:rPr>
          <w:rFonts w:ascii="Book Antiqua" w:hAnsi="Book Antiqua"/>
          <w:sz w:val="22"/>
          <w:szCs w:val="22"/>
        </w:rPr>
        <w:t xml:space="preserve">powinna wynosić </w:t>
      </w:r>
      <w:r w:rsidR="00704D29" w:rsidRPr="00F74048">
        <w:rPr>
          <w:rFonts w:ascii="Book Antiqua" w:hAnsi="Book Antiqua"/>
          <w:sz w:val="22"/>
          <w:szCs w:val="22"/>
        </w:rPr>
        <w:t>min. IK09.</w:t>
      </w:r>
    </w:p>
    <w:p w14:paraId="39AE3489" w14:textId="77777777" w:rsidR="00B4048F" w:rsidRPr="00F74048" w:rsidRDefault="00B4048F" w:rsidP="00F74048">
      <w:pPr>
        <w:pStyle w:val="Tekstpodstawowy"/>
        <w:spacing w:before="32" w:line="276" w:lineRule="auto"/>
        <w:ind w:left="197"/>
        <w:jc w:val="both"/>
        <w:rPr>
          <w:rFonts w:ascii="Book Antiqua" w:hAnsi="Book Antiqua"/>
          <w:sz w:val="22"/>
          <w:szCs w:val="22"/>
        </w:rPr>
      </w:pPr>
    </w:p>
    <w:p w14:paraId="30ECFC00" w14:textId="77777777" w:rsidR="00B4048F" w:rsidRPr="00F74048" w:rsidRDefault="00B4048F" w:rsidP="00F74048">
      <w:pPr>
        <w:pStyle w:val="Tekstpodstawowy"/>
        <w:spacing w:before="32" w:line="276" w:lineRule="auto"/>
        <w:ind w:left="197"/>
        <w:jc w:val="both"/>
        <w:rPr>
          <w:rFonts w:ascii="Book Antiqua" w:hAnsi="Book Antiqua"/>
          <w:color w:val="FF0000"/>
          <w:sz w:val="22"/>
          <w:szCs w:val="22"/>
        </w:rPr>
      </w:pPr>
    </w:p>
    <w:p w14:paraId="24E3C04A" w14:textId="77777777" w:rsidR="003844C8" w:rsidRPr="00F74048" w:rsidRDefault="00B4048F" w:rsidP="00F74048">
      <w:pPr>
        <w:pStyle w:val="Tekstpodstawowy"/>
        <w:spacing w:before="32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Pytanie 6</w:t>
      </w:r>
    </w:p>
    <w:p w14:paraId="2EA66086" w14:textId="77777777" w:rsidR="003844C8" w:rsidRPr="00F74048" w:rsidRDefault="003844C8" w:rsidP="00F74048">
      <w:pPr>
        <w:widowControl w:val="0"/>
        <w:tabs>
          <w:tab w:val="left" w:pos="414"/>
          <w:tab w:val="left" w:pos="9072"/>
        </w:tabs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wymaga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oprawie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Parkowej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LED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:</w:t>
      </w:r>
    </w:p>
    <w:p w14:paraId="6A40CBC9" w14:textId="5057948D" w:rsidR="003844C8" w:rsidRPr="00F74048" w:rsidRDefault="003844C8" w:rsidP="00F74048">
      <w:pPr>
        <w:pStyle w:val="Tekstpodstawowy"/>
        <w:tabs>
          <w:tab w:val="left" w:pos="9072"/>
        </w:tabs>
        <w:spacing w:before="31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Oprawa wyposażona w rozłącznik nożowy, odłączający napięcie w razie przypadkowego,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niekontrolowanego otwarcia oprawy i zwiększający bezpieczeństwo podczas prac serwisowych, natomiast</w:t>
      </w:r>
      <w:r w:rsidR="00B823BD" w:rsidRPr="00F74048">
        <w:rPr>
          <w:rFonts w:ascii="Book Antiqua" w:hAnsi="Book Antiqua"/>
          <w:sz w:val="22"/>
          <w:szCs w:val="22"/>
        </w:rPr>
        <w:t xml:space="preserve"> </w:t>
      </w:r>
      <w:r w:rsidRPr="00F74048">
        <w:rPr>
          <w:rFonts w:ascii="Book Antiqua" w:hAnsi="Book Antiqua"/>
          <w:spacing w:val="-55"/>
          <w:sz w:val="22"/>
          <w:szCs w:val="22"/>
        </w:rPr>
        <w:t xml:space="preserve"> </w:t>
      </w:r>
      <w:r w:rsidR="00B823BD" w:rsidRPr="00F74048">
        <w:rPr>
          <w:rFonts w:ascii="Book Antiqua" w:hAnsi="Book Antiqua"/>
          <w:spacing w:val="-55"/>
          <w:sz w:val="22"/>
          <w:szCs w:val="22"/>
        </w:rPr>
        <w:t xml:space="preserve">      </w:t>
      </w:r>
      <w:r w:rsidRPr="00F74048">
        <w:rPr>
          <w:rFonts w:ascii="Book Antiqua" w:hAnsi="Book Antiqua"/>
          <w:sz w:val="22"/>
          <w:szCs w:val="22"/>
        </w:rPr>
        <w:t>brak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tego</w:t>
      </w:r>
      <w:r w:rsidRPr="00F74048">
        <w:rPr>
          <w:rFonts w:ascii="Book Antiqua" w:hAnsi="Book Antiqua"/>
          <w:spacing w:val="-3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zapisu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specyﬁkacji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opraw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drogowych.</w:t>
      </w:r>
      <w:r w:rsidR="00B823BD" w:rsidRPr="00F74048">
        <w:rPr>
          <w:rFonts w:ascii="Book Antiqua" w:hAnsi="Book Antiqua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U większości producentów ten zapis specyﬁkacji dotyczy opraw drogowych a nie parkowych</w:t>
      </w:r>
      <w:r w:rsidR="00B823BD" w:rsidRPr="00F74048">
        <w:rPr>
          <w:rFonts w:ascii="Book Antiqua" w:hAnsi="Book Antiqua"/>
          <w:sz w:val="22"/>
          <w:szCs w:val="22"/>
        </w:rPr>
        <w:t>.</w:t>
      </w:r>
      <w:r w:rsidRPr="00F74048">
        <w:rPr>
          <w:rFonts w:ascii="Book Antiqua" w:hAnsi="Book Antiqua"/>
          <w:sz w:val="22"/>
          <w:szCs w:val="22"/>
        </w:rPr>
        <w:t xml:space="preserve"> Czy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Zamawiający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nie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popełnił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błędy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w</w:t>
      </w:r>
      <w:r w:rsidRPr="00F74048">
        <w:rPr>
          <w:rFonts w:ascii="Book Antiqua" w:hAnsi="Book Antiqua"/>
          <w:spacing w:val="-5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lokalizacji</w:t>
      </w:r>
      <w:r w:rsidRPr="00F74048">
        <w:rPr>
          <w:rFonts w:ascii="Book Antiqua" w:hAnsi="Book Antiqua"/>
          <w:spacing w:val="-4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zapisu?</w:t>
      </w:r>
    </w:p>
    <w:p w14:paraId="52D6D1C8" w14:textId="77777777" w:rsidR="003844C8" w:rsidRPr="00F74048" w:rsidRDefault="003844C8" w:rsidP="00F74048">
      <w:pPr>
        <w:pStyle w:val="Tekstpodstawowy"/>
        <w:tabs>
          <w:tab w:val="left" w:pos="9072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Ewentualnie czy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Zamawiający zrezygnuje z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tego</w:t>
      </w:r>
      <w:r w:rsidRPr="00F74048">
        <w:rPr>
          <w:rFonts w:ascii="Book Antiqua" w:hAnsi="Book Antiqua"/>
          <w:spacing w:val="1"/>
          <w:sz w:val="22"/>
          <w:szCs w:val="22"/>
        </w:rPr>
        <w:t xml:space="preserve"> </w:t>
      </w:r>
      <w:r w:rsidRPr="00F74048">
        <w:rPr>
          <w:rFonts w:ascii="Book Antiqua" w:hAnsi="Book Antiqua"/>
          <w:sz w:val="22"/>
          <w:szCs w:val="22"/>
        </w:rPr>
        <w:t>zapisu?</w:t>
      </w:r>
    </w:p>
    <w:p w14:paraId="280CF966" w14:textId="77777777" w:rsidR="003844C8" w:rsidRPr="00F74048" w:rsidRDefault="003844C8" w:rsidP="00F74048">
      <w:pPr>
        <w:pStyle w:val="Tekstpodstawowy"/>
        <w:spacing w:before="32" w:line="276" w:lineRule="auto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36E1AC2E" w14:textId="145A0924" w:rsidR="00B4048F" w:rsidRPr="00F74048" w:rsidRDefault="00B4048F" w:rsidP="00F74048">
      <w:pPr>
        <w:pStyle w:val="Tekstpodstawowy"/>
        <w:spacing w:before="32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3844C8"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Odpowiedz </w:t>
      </w:r>
    </w:p>
    <w:p w14:paraId="6FEE3A77" w14:textId="0A54C594" w:rsidR="003844C8" w:rsidRPr="00F74048" w:rsidRDefault="003844C8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>Zamawiający rezygnuje z zapisu o wyposażeniu oprawy w rozłącznik nożowy, odłączający napięcie w razie niekontrolowanego otarcia oprawy dla opraw objętych postępowaniem</w:t>
      </w:r>
      <w:r w:rsidR="00B823BD" w:rsidRPr="00F74048">
        <w:rPr>
          <w:rFonts w:ascii="Book Antiqua" w:hAnsi="Book Antiqua"/>
          <w:sz w:val="22"/>
          <w:szCs w:val="22"/>
        </w:rPr>
        <w:t>. W związku z powyższym w opisie przedmiotu zamówienia</w:t>
      </w:r>
      <w:r w:rsidR="00F74048" w:rsidRPr="00F74048">
        <w:rPr>
          <w:rFonts w:ascii="Book Antiqua" w:hAnsi="Book Antiqua"/>
          <w:sz w:val="22"/>
          <w:szCs w:val="22"/>
        </w:rPr>
        <w:t xml:space="preserve"> w</w:t>
      </w:r>
      <w:r w:rsidR="00B823BD" w:rsidRPr="00F74048">
        <w:rPr>
          <w:rFonts w:ascii="Book Antiqua" w:hAnsi="Book Antiqua"/>
          <w:sz w:val="22"/>
          <w:szCs w:val="22"/>
        </w:rPr>
        <w:t xml:space="preserve"> Wymaganych parametr</w:t>
      </w:r>
      <w:r w:rsidR="00F74048" w:rsidRPr="00F74048">
        <w:rPr>
          <w:rFonts w:ascii="Book Antiqua" w:hAnsi="Book Antiqua"/>
          <w:sz w:val="22"/>
          <w:szCs w:val="22"/>
        </w:rPr>
        <w:t>ach</w:t>
      </w:r>
      <w:r w:rsidR="00B823BD" w:rsidRPr="00F74048">
        <w:rPr>
          <w:rFonts w:ascii="Book Antiqua" w:hAnsi="Book Antiqua"/>
          <w:sz w:val="22"/>
          <w:szCs w:val="22"/>
        </w:rPr>
        <w:t xml:space="preserve"> technicznych i konstrukcyjnych dla parkowych opraw LED</w:t>
      </w:r>
      <w:r w:rsidR="00F74048" w:rsidRPr="00F74048">
        <w:rPr>
          <w:rFonts w:ascii="Book Antiqua" w:hAnsi="Book Antiqua"/>
          <w:sz w:val="22"/>
          <w:szCs w:val="22"/>
        </w:rPr>
        <w:t xml:space="preserve"> skreśla się pkt 5. </w:t>
      </w:r>
    </w:p>
    <w:p w14:paraId="289CB84F" w14:textId="77777777" w:rsidR="00F74048" w:rsidRPr="00F74048" w:rsidRDefault="00F74048" w:rsidP="00F74048">
      <w:pPr>
        <w:pStyle w:val="Tekstpodstawowy"/>
        <w:spacing w:before="32" w:line="276" w:lineRule="auto"/>
        <w:jc w:val="both"/>
        <w:rPr>
          <w:rFonts w:ascii="Book Antiqua" w:hAnsi="Book Antiqua"/>
          <w:sz w:val="22"/>
          <w:szCs w:val="22"/>
        </w:rPr>
      </w:pPr>
    </w:p>
    <w:p w14:paraId="2972ADB1" w14:textId="77777777" w:rsidR="009841BA" w:rsidRPr="00F74048" w:rsidRDefault="009841BA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576C1CAA" w14:textId="3FF3A50F" w:rsidR="009841BA" w:rsidRPr="00F74048" w:rsidRDefault="009841BA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bCs/>
          <w:sz w:val="22"/>
          <w:szCs w:val="22"/>
        </w:rPr>
        <w:t xml:space="preserve">Powołując się na art. 286 ust. 3 Pzp Zamawiający informuje, że termin składnia i otwarcia ofert nie ulega zmianie, albowiem powyższe </w:t>
      </w:r>
      <w:r w:rsidR="00F74048" w:rsidRPr="00F74048">
        <w:rPr>
          <w:rFonts w:ascii="Book Antiqua" w:hAnsi="Book Antiqua"/>
          <w:bCs/>
          <w:sz w:val="22"/>
          <w:szCs w:val="22"/>
        </w:rPr>
        <w:t>wyjaśnienia</w:t>
      </w:r>
      <w:r w:rsidRPr="00F74048">
        <w:rPr>
          <w:rFonts w:ascii="Book Antiqua" w:hAnsi="Book Antiqua"/>
          <w:bCs/>
          <w:sz w:val="22"/>
          <w:szCs w:val="22"/>
        </w:rPr>
        <w:t xml:space="preserve"> nie wymagają od wykonawców dokonania dodatkowych czasochłonnych czynności.  </w:t>
      </w:r>
    </w:p>
    <w:p w14:paraId="5384594F" w14:textId="77777777" w:rsidR="00A76E0B" w:rsidRPr="00F74048" w:rsidRDefault="00A76E0B" w:rsidP="00F7404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 w:rsidR="008B17CE" w:rsidRPr="00F74048">
        <w:rPr>
          <w:rFonts w:ascii="Book Antiqua" w:hAnsi="Book Antiqua"/>
          <w:sz w:val="22"/>
          <w:szCs w:val="22"/>
        </w:rPr>
        <w:t xml:space="preserve"> </w:t>
      </w:r>
      <w:r w:rsidR="00C2648D" w:rsidRPr="00F74048">
        <w:rPr>
          <w:rFonts w:ascii="Book Antiqua" w:hAnsi="Book Antiqua"/>
          <w:sz w:val="22"/>
          <w:szCs w:val="22"/>
        </w:rPr>
        <w:t xml:space="preserve"> </w:t>
      </w:r>
      <w:r w:rsidR="00E55BDE" w:rsidRPr="00F74048">
        <w:rPr>
          <w:rFonts w:ascii="Book Antiqua" w:hAnsi="Book Antiqua"/>
          <w:sz w:val="22"/>
          <w:szCs w:val="22"/>
        </w:rPr>
        <w:t xml:space="preserve"> </w:t>
      </w:r>
    </w:p>
    <w:p w14:paraId="74384C92" w14:textId="35EC5E0B" w:rsidR="00364921" w:rsidRPr="00F74048" w:rsidRDefault="00A76E0B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E55BDE" w:rsidRPr="00F74048">
        <w:rPr>
          <w:rFonts w:ascii="Book Antiqua" w:hAnsi="Book Antiqua"/>
          <w:sz w:val="22"/>
          <w:szCs w:val="22"/>
        </w:rPr>
        <w:t xml:space="preserve">  </w:t>
      </w:r>
      <w:r w:rsidR="00C2648D" w:rsidRPr="00F74048">
        <w:rPr>
          <w:rFonts w:ascii="Book Antiqua" w:hAnsi="Book Antiqua"/>
          <w:sz w:val="22"/>
          <w:szCs w:val="22"/>
        </w:rPr>
        <w:t xml:space="preserve">Wójt Gminy Przykona </w:t>
      </w:r>
    </w:p>
    <w:p w14:paraId="29889910" w14:textId="741AEA2F" w:rsidR="007512CD" w:rsidRPr="00F74048" w:rsidRDefault="00C2648D" w:rsidP="00F74048">
      <w:pPr>
        <w:pStyle w:val="Tekstpodstawowy"/>
        <w:spacing w:before="100" w:beforeAutospacing="1" w:after="100" w:afterAutospacing="1" w:line="276" w:lineRule="auto"/>
        <w:jc w:val="center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A76E0B" w:rsidRPr="00F74048">
        <w:rPr>
          <w:rFonts w:ascii="Book Antiqua" w:hAnsi="Book Antiqua"/>
          <w:sz w:val="22"/>
          <w:szCs w:val="22"/>
        </w:rPr>
        <w:t xml:space="preserve">                      </w:t>
      </w:r>
      <w:r w:rsidRPr="00F74048">
        <w:rPr>
          <w:rFonts w:ascii="Book Antiqua" w:hAnsi="Book Antiqua"/>
          <w:sz w:val="22"/>
          <w:szCs w:val="22"/>
        </w:rPr>
        <w:t xml:space="preserve"> </w:t>
      </w:r>
      <w:r w:rsidR="00F020DF" w:rsidRPr="00F74048">
        <w:rPr>
          <w:rFonts w:ascii="Book Antiqua" w:hAnsi="Book Antiqua"/>
          <w:sz w:val="22"/>
          <w:szCs w:val="22"/>
        </w:rPr>
        <w:t xml:space="preserve">Łukasz Sadłowski </w:t>
      </w:r>
    </w:p>
    <w:sectPr w:rsidR="007512CD" w:rsidRPr="00F74048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43DD"/>
    <w:multiLevelType w:val="hybridMultilevel"/>
    <w:tmpl w:val="949A79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D3FC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4395"/>
    <w:multiLevelType w:val="hybridMultilevel"/>
    <w:tmpl w:val="D44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A3F0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6D552CE7"/>
    <w:multiLevelType w:val="hybridMultilevel"/>
    <w:tmpl w:val="9D0A2D92"/>
    <w:lvl w:ilvl="0" w:tplc="B3F68ED0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3B324584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290C2BB6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3D0EBFA6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D6F61AAA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424259CC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8426335C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BAC80F10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1BDAED56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D2A"/>
    <w:multiLevelType w:val="hybridMultilevel"/>
    <w:tmpl w:val="5A68C0FC"/>
    <w:lvl w:ilvl="0" w:tplc="E064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6"/>
  </w:num>
  <w:num w:numId="2" w16cid:durableId="1941059170">
    <w:abstractNumId w:val="2"/>
  </w:num>
  <w:num w:numId="3" w16cid:durableId="1149831924">
    <w:abstractNumId w:val="7"/>
  </w:num>
  <w:num w:numId="4" w16cid:durableId="1740712551">
    <w:abstractNumId w:val="0"/>
  </w:num>
  <w:num w:numId="5" w16cid:durableId="1064836895">
    <w:abstractNumId w:val="5"/>
  </w:num>
  <w:num w:numId="6" w16cid:durableId="1175724938">
    <w:abstractNumId w:val="4"/>
  </w:num>
  <w:num w:numId="7" w16cid:durableId="467943034">
    <w:abstractNumId w:val="1"/>
  </w:num>
  <w:num w:numId="8" w16cid:durableId="54128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063B3A"/>
    <w:rsid w:val="00080ABD"/>
    <w:rsid w:val="00097F37"/>
    <w:rsid w:val="0012062D"/>
    <w:rsid w:val="00144AE4"/>
    <w:rsid w:val="001C4356"/>
    <w:rsid w:val="001E3E53"/>
    <w:rsid w:val="002054AE"/>
    <w:rsid w:val="00225CC9"/>
    <w:rsid w:val="00235183"/>
    <w:rsid w:val="00242685"/>
    <w:rsid w:val="00283AE3"/>
    <w:rsid w:val="002876B8"/>
    <w:rsid w:val="002A1DAB"/>
    <w:rsid w:val="002D31C7"/>
    <w:rsid w:val="00315A3E"/>
    <w:rsid w:val="003342C0"/>
    <w:rsid w:val="00364921"/>
    <w:rsid w:val="00371B7E"/>
    <w:rsid w:val="00381909"/>
    <w:rsid w:val="003844C8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5A06BB"/>
    <w:rsid w:val="00613F83"/>
    <w:rsid w:val="006864F8"/>
    <w:rsid w:val="006A5EC3"/>
    <w:rsid w:val="006E4919"/>
    <w:rsid w:val="006F59D1"/>
    <w:rsid w:val="006F6478"/>
    <w:rsid w:val="00704D29"/>
    <w:rsid w:val="007461C3"/>
    <w:rsid w:val="007512CD"/>
    <w:rsid w:val="00753D1A"/>
    <w:rsid w:val="00781711"/>
    <w:rsid w:val="007C0263"/>
    <w:rsid w:val="007C61D5"/>
    <w:rsid w:val="007D23CE"/>
    <w:rsid w:val="007D65A8"/>
    <w:rsid w:val="007E3459"/>
    <w:rsid w:val="007E4477"/>
    <w:rsid w:val="007E6B3F"/>
    <w:rsid w:val="00804CB9"/>
    <w:rsid w:val="00820D96"/>
    <w:rsid w:val="008415C2"/>
    <w:rsid w:val="008538CA"/>
    <w:rsid w:val="00872F68"/>
    <w:rsid w:val="00880B73"/>
    <w:rsid w:val="008B17CE"/>
    <w:rsid w:val="00903CE6"/>
    <w:rsid w:val="0090442C"/>
    <w:rsid w:val="009106B1"/>
    <w:rsid w:val="00912A4D"/>
    <w:rsid w:val="00914EB7"/>
    <w:rsid w:val="0091634C"/>
    <w:rsid w:val="00940C8E"/>
    <w:rsid w:val="00964493"/>
    <w:rsid w:val="00981E15"/>
    <w:rsid w:val="009841BA"/>
    <w:rsid w:val="009916D7"/>
    <w:rsid w:val="00991B31"/>
    <w:rsid w:val="009A58E5"/>
    <w:rsid w:val="009A602A"/>
    <w:rsid w:val="00A12146"/>
    <w:rsid w:val="00A422D1"/>
    <w:rsid w:val="00A5414D"/>
    <w:rsid w:val="00A75E1E"/>
    <w:rsid w:val="00A764C9"/>
    <w:rsid w:val="00A76E0B"/>
    <w:rsid w:val="00AC0256"/>
    <w:rsid w:val="00AC15D4"/>
    <w:rsid w:val="00AE3A06"/>
    <w:rsid w:val="00AF7A86"/>
    <w:rsid w:val="00B01458"/>
    <w:rsid w:val="00B1516E"/>
    <w:rsid w:val="00B30AD9"/>
    <w:rsid w:val="00B4048F"/>
    <w:rsid w:val="00B71173"/>
    <w:rsid w:val="00B823BD"/>
    <w:rsid w:val="00BE0D5F"/>
    <w:rsid w:val="00C2648D"/>
    <w:rsid w:val="00C541C7"/>
    <w:rsid w:val="00C91AA3"/>
    <w:rsid w:val="00CA50B3"/>
    <w:rsid w:val="00CB2F09"/>
    <w:rsid w:val="00CB7700"/>
    <w:rsid w:val="00CC720D"/>
    <w:rsid w:val="00CE1F4D"/>
    <w:rsid w:val="00CE456A"/>
    <w:rsid w:val="00D4603F"/>
    <w:rsid w:val="00D62B5E"/>
    <w:rsid w:val="00D718EA"/>
    <w:rsid w:val="00D834D9"/>
    <w:rsid w:val="00D95DBE"/>
    <w:rsid w:val="00DC4D60"/>
    <w:rsid w:val="00DE4F9F"/>
    <w:rsid w:val="00E55BDE"/>
    <w:rsid w:val="00E70F77"/>
    <w:rsid w:val="00EC41AC"/>
    <w:rsid w:val="00EE1FE7"/>
    <w:rsid w:val="00F020DF"/>
    <w:rsid w:val="00F40370"/>
    <w:rsid w:val="00F44971"/>
    <w:rsid w:val="00F74048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CB2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10</cp:revision>
  <cp:lastPrinted>2024-09-17T07:11:00Z</cp:lastPrinted>
  <dcterms:created xsi:type="dcterms:W3CDTF">2024-09-16T11:40:00Z</dcterms:created>
  <dcterms:modified xsi:type="dcterms:W3CDTF">2024-09-17T11:15:00Z</dcterms:modified>
</cp:coreProperties>
</file>