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b/>
          <w:bCs/>
          <w:i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2"/>
          <w:sz w:val="18"/>
          <w:szCs w:val="1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hanging="714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18"/>
          <w:szCs w:val="18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zh-CN"/>
        </w:rPr>
      </w:r>
    </w:p>
    <w:tbl>
      <w:tblPr>
        <w:tblW w:w="10798" w:type="dxa"/>
        <w:jc w:val="left"/>
        <w:tblInd w:w="-8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"/>
        <w:gridCol w:w="4254"/>
        <w:gridCol w:w="1300"/>
        <w:gridCol w:w="4677"/>
      </w:tblGrid>
      <w:tr>
        <w:trPr>
          <w:trHeight w:val="308" w:hRule="atLeast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5A5A5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714"/>
              <w:jc w:val="center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bookmarkStart w:id="0" w:name="_Hlk113821991"/>
            <w:bookmarkEnd w:id="0"/>
            <w:r>
              <w:rPr>
                <w:rFonts w:eastAsia="Times New Roman" w:cs="Tahoma" w:ascii="Tahoma" w:hAnsi="Tahoma"/>
                <w:b/>
                <w:bCs/>
                <w:sz w:val="18"/>
                <w:szCs w:val="18"/>
                <w:lang w:eastAsia="zh-CN"/>
              </w:rPr>
              <w:t>Wdrożenie i świadczenie usługi Security Operation Center do dnia 31-12-2024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zh-CN"/>
              </w:rPr>
            </w:r>
          </w:p>
        </w:tc>
      </w:tr>
      <w:tr>
        <w:trPr>
          <w:trHeight w:val="1888" w:hRule="atLeast"/>
        </w:trPr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b/>
                <w:bCs/>
                <w:i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b/>
                <w:bCs/>
                <w:i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b/>
                <w:bCs/>
                <w:i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b/>
                <w:bCs/>
                <w:i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b/>
                <w:bCs/>
                <w:i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b/>
                <w:bCs/>
                <w:i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Wymagane minimalne parametry techniczne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Wymóg do spełnienia (warunek graniczny)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OFEROWANE PARAMETRY TECHNICZNE – </w:t>
            </w:r>
            <w:r>
              <w:rPr>
                <w:rFonts w:eastAsia="Times New Roman" w:cs="Tahoma" w:ascii="Tahoma" w:hAnsi="Tahoma"/>
                <w:i/>
                <w:iCs/>
                <w:sz w:val="18"/>
                <w:szCs w:val="18"/>
                <w:lang w:eastAsia="zh-CN"/>
              </w:rPr>
              <w:t>podaje Wykonawca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i/>
                <w:iCs/>
                <w:sz w:val="18"/>
                <w:szCs w:val="18"/>
                <w:lang w:eastAsia="zh-CN"/>
              </w:rPr>
              <w:t>Wymogi dotyczące opisu oferowanych parametrów: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i/>
                <w:iCs/>
                <w:sz w:val="18"/>
                <w:szCs w:val="18"/>
                <w:lang w:eastAsia="zh-CN"/>
              </w:rPr>
              <w:t>TAK – wykonawca spełnia konkretny parametr przy czym Zamawiający oczekuje by w przypadku wymagań dotyczących minimalnych parametrów opisać szczegółowo parametry oferowane przez wykonawcę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i/>
                <w:iCs/>
                <w:sz w:val="18"/>
                <w:szCs w:val="18"/>
                <w:lang w:eastAsia="zh-CN"/>
              </w:rPr>
              <w:t>NIE – wykonawca nie spełnia konkretnego parametru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b/>
                <w:bCs/>
                <w:i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</w:r>
          </w:p>
        </w:tc>
      </w:tr>
      <w:tr>
        <w:trPr>
          <w:trHeight w:val="446" w:hRule="atLeast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Użytkownicy</w:t>
            </w:r>
          </w:p>
        </w:tc>
      </w:tr>
      <w:tr>
        <w:trPr>
          <w:trHeight w:val="60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Możliwość tworzenia kont dla wielu użytkowników systemu monitorowania IT bez dodatkowych opłat.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Zapewnienie równoległego dostępu do systemu dla wielu użytkowników.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Możliwość ograniczania użytkownikom dostępu do wybranych grup hostów.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</w:tc>
      </w:tr>
      <w:tr>
        <w:trPr>
          <w:trHeight w:val="313" w:hRule="atLeast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Monitorowanie</w:t>
            </w:r>
          </w:p>
        </w:tc>
      </w:tr>
      <w:tr>
        <w:trPr>
          <w:trHeight w:val="40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Monitorowania serwerów fizycznych.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 stanu macierzy dyskowych.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Monitorowania urządzeń sieciowych w tym UTM.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Monitorowania stanu połączeń.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Monitorowanie interfejsów sieciowych przełączników, routerów, serwerów 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maszyn wirtualnych pracujących pod kontrolą systemów operacyjnych Windows i Linux.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stanu rejestratorów NVR.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stanu systemów backupu.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stanu bibliotek taśmowych.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Dostęp do systemu monitorowania przez panel dla urządzeń mobilnych.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Możliwość rozbudowy systemu o monitorowanie kolejnych urządzeń.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Automatyczne wykrywanie usług na urządzeniach, powiadamianie o wykryciu nowych usług na urządzeniu.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Grupowanie hostów.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Definiowanie planowanych przerw serwisowych dla hostów i usług.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Możliwość zaznaczenia reakcji na awarię - odpowiadanie na alerty (ACK).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Wykonywanie operacji na grupach hostów (włączenie/wyłączenie monitorowania, powiadomień; konfiguracje przerw serwisowych).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Generowanie raportów dostępności monitorowanych urządzeń, usług i procesów biznesowych (raporty wyświetlane na stronie www).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Monitorowanie serwerów za pomocą agentów     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  <w:lang w:val="en-US"/>
              </w:rPr>
              <w:t>Monitorowanie serwerów aplikacji: Tomcat, Oracle WebLogic Server, Oracle Application Server 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stanu usługi Active Directory.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serwerów plików, udziałów sieciowych.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statusu serwerów Apache, IIS, ngix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baz danych: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ORACLE,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MySQL,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Postgress.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MSSQL Server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urządzeń przez następujące protokoły: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SNMP,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WMI,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IPMI.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Konfigurację oprogramowania systemu monitorowania poprzez interfejs WWW.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poprawności działania DNS.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środowiska wirtualizacyjnych Vmware, Hyper-V, Proxmox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działania serwera czasu NTP.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offsetu czasu na serwerach.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ping - czasy odpowiedzi, straty pakietów.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zajętości miejsca na poszczególnych partycjach.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obciążenia dysków.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wykorzystania pamięci RAM.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obciążenia CPU.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logów systemowych Windows.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macierzy dyskowych, status urządzenia statusów dysków urządzenia.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Dodawanie własnych wtyczek / agentów dla urządzeń i usług, które standardowo nie są obsługiwane.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Zgodność z wtyczkami programu Nagios służącego do monitorowania sieci, urządzeń sieciowych, aplikacji oraz serwerów działający w systemach Linux  i Unix.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Agregację usług niskiego poziomu do procesów biznesowych (tzw. Business Intelligence)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Symulację awarii elementów infrastruktury i badanie jej wpływu na procesy biznesowe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rozproszone (podgląd w pojedynczym panelu stanu wielu instancji monitorujących, np. z kilku lokalizacji/oddziałów).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Wykrywanie niestabilnie działających usług.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dostępności stron internetowych.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Konfigurację hierarchiczną (dziedziczenie konfiguracji dla grup urządzeń).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</w:tc>
      </w:tr>
      <w:tr>
        <w:trPr>
          <w:trHeight w:val="446" w:hRule="atLeast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Prezentacja</w:t>
            </w:r>
          </w:p>
        </w:tc>
      </w:tr>
      <w:tr>
        <w:trPr>
          <w:trHeight w:val="60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Prezentację stanu urządzeń na mapie.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Prezentację danych na dashboardach.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Elastyczną konfigurację dashboardów, wybór elementów.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Wizualizację stanu działania całej infrastruktury na jednym dashboardzie.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Tworzenie indywidualnych dashboardów przez użytkowników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</w:tc>
      </w:tr>
      <w:tr>
        <w:trPr>
          <w:trHeight w:val="446" w:hRule="atLeast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Powiadomienia</w:t>
            </w:r>
          </w:p>
        </w:tc>
      </w:tr>
      <w:tr>
        <w:trPr>
          <w:trHeight w:val="60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Globalne wyłączanie powiadomień.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Powiadamianie użytkownika   o problemach przez e-mail, sms, telefon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Eskalację powiadomień do kolejnych użytkowników w przypadku braku reakcji na powiadomienie.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Definiowanie przedziałów czasowych, w których wysyłane są powiadomienia do poszczególnych użytkowników.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Definiowanie różnych wartości progowych alertów na poziomie globalnym, grupy urządzeń, pojedynczych urządzeń, pojedynczych usług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</w:tc>
      </w:tr>
      <w:tr>
        <w:trPr>
          <w:trHeight w:val="446" w:hRule="atLeast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Konfiguracja</w:t>
            </w:r>
          </w:p>
        </w:tc>
      </w:tr>
      <w:tr>
        <w:trPr>
          <w:trHeight w:val="60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Konfigurację oprogramowania systemu monitorowania poprzez interfejs WWW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Automatyczna konfiguracja i działanie  z REST-API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Centralne zarządzanie agentami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Integracja danych z różnych źródeł danych (JSON, XML, SNMP)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</w:tc>
      </w:tr>
      <w:tr>
        <w:trPr>
          <w:trHeight w:val="446" w:hRule="atLeast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Monitoring bazy danych systemu HIS</w:t>
            </w:r>
          </w:p>
        </w:tc>
      </w:tr>
      <w:tr>
        <w:trPr>
          <w:trHeight w:val="60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Możliwość monitorowania bazy danych systemu HIS w zakresie co najmniej: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Instance state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Version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Jobs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Locks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Processes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Number of active sessions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Recovery area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Log switch activity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General tablespace information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Tablespaces performance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Long active sessions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Undo retention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Checkpoint and online backup state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Custom SQLs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RMAN backup status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RMAN backups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ASM disk groups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  <w:lang w:val="en-US"/>
              </w:rPr>
              <w:t>Apply and transport lag of Oracle Data-Guard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Możliwość dodania własnych zapytań SQL i monitorowanie zwracanych wartości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</w:tc>
      </w:tr>
      <w:tr>
        <w:trPr>
          <w:trHeight w:val="446" w:hRule="atLeast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Kolektor logów</w:t>
            </w:r>
          </w:p>
        </w:tc>
      </w:tr>
      <w:tr>
        <w:trPr>
          <w:trHeight w:val="60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System posiada własny kolektor logów syslog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Może odbierać wiadomości bezpośrednio z syslog lub SNMP traps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Za pomocą agentów potrafi oceniać logi tekstowe oraz logi Windows Event 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Klasyfikuje wiadomości bazując zdefiniowanych przez użytkownika regułach, potrafi korelować, podsumowywać, liczyć, opisywać  i przepisywać wiadomości, a także uwzględniać ich relacje czasowe.</w:t>
            </w:r>
          </w:p>
          <w:p>
            <w:pPr>
              <w:pStyle w:val="Normal"/>
              <w:spacing w:lineRule="auto" w:line="240" w:before="0" w:after="0"/>
              <w:ind w:left="36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</w:tc>
      </w:tr>
      <w:tr>
        <w:trPr>
          <w:trHeight w:val="446" w:hRule="atLeast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Cyberbezpieczeństwo</w:t>
            </w:r>
          </w:p>
        </w:tc>
      </w:tr>
      <w:tr>
        <w:trPr>
          <w:trHeight w:val="60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System monitoruje urządzenia klasy UTM minimum w zakresie: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wykrywanie włamań i szybkość blokowania WARN lub CRIT, jeśli wskaźnik wykrywania przekracza poziomy konfigurowane przez użytkownika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monitoruje stan synchronizacji klastra High-Availability. Status „zsynchronizowany” jest uważany za OK, a status „niezsynchronizowany” CRIT.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monitoruje ogólny stan alarmów czujników urządzenia Firewall. Status kontroli jest OK, jeśli wszystkie czujniki mają status alarmu „fałsz” (0) i CRIT, jeśli co najmniej jeden czujnik ma stan alarmu „prawda” (1).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monitoruje aktualną liczbę sesji na urządzeniu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monitoruje liczbę dostępnych tuneli IPSec VPN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monitoruje wykrywanie wirusów  i szybkość blokowania systemów FortiGate AntiVirus. Przechodzi WARN lub CRIT, jeśli wskaźnik wykrywania przekracza poziomy konfigurowane przez użytkownika.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monitoruje poziom wykorzystania procesora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Górne domyślne poziomy to 80,0, 90,0 procent. Poziomy są konfigurowalne.    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System ma możliwość odbierania  i prezentacji danych z UTM  z wykorzystaniem kolektora logów syslog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System ma możliwość odbierania danych z systemu EDR z wykorzystaniem kolektora logów syslog.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</w:tc>
      </w:tr>
      <w:tr>
        <w:trPr>
          <w:trHeight w:val="446" w:hRule="atLeast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b/>
                <w:bCs/>
                <w:i/>
                <w:iCs/>
                <w:sz w:val="18"/>
                <w:szCs w:val="18"/>
                <w:lang w:eastAsia="zh-CN"/>
              </w:rPr>
              <w:t>SOC i NOC</w:t>
            </w:r>
          </w:p>
        </w:tc>
      </w:tr>
      <w:tr>
        <w:trPr>
          <w:trHeight w:val="60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Operacyjne Centrum Bezpieczeństwa; centrum kompetencyjne, które zajmować się będzie monitorowaniem infrastruktury teleinformatycznej, analizą zdarzeń, detekcją zagrożeń bezpieczeństwa  i reagowaniem na wykryte incydenty naruszające bezpieczeństwo teleinformatyczne chronionych organizacji za pomocą analizy zbieranych logów z urządzeń, systemów IT oraz aplikacji, korelacją zdarzeń i detekcją zagrożeń oraz odpowiednią reakcję na pojawiające się incydenty 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W ramach realizacji zamówienia, Wykonawca będzie świadczył usługę monitorowania i analizy danych prezentowanych w Systemie monitorowania zgodnie z opisanymi poniżej wymaganiami.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zdarzeń naruszenia cyberbezpieczeństwa oraz ciągłości pracy infrastruktury w trybie 24 / 7 / 365, zgodnie z określonymi warunkami SLA.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Przeprowadzanie wstępnej oceny zdarzeń i realizowanie ustalonych Scenariuszy Reakcji.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Analizę i eliminację najprostszych znanych zdarzeń określonych  w ramach Scenariusza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Reakcji.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Eskalowanie zdarzenia zgodnie  w ramach ustalonego Scenariusza Reakcji.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W ramach usługi Wykonawca monitoruje krytyczne elementy infrastruktury IT: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Serwery fizyczne 10 sztuk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Macierze 5 sztuk,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Przełączniki LAN  50 sztuk    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Serwery Backupu 2 sztuk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Biblioteki taśmowe LTO  2 sztuk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Macierze NAS  3 sztuki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UPS  5 sztuk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Serwery aplikacji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IIS 5 sztuk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Serwer wirtualizacji 10 sztuk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Serwery wirtualne 50 sztuk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Serwer AD 4  sztuki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W ramach usługi wykonawca monitoruje krytyczne elementy systemu HIS: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komunikacji   z  platformą P1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komunikacji bramek HL7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komunikacji EWUŚ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KOWAL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komunikacji AP-KOLCE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RZM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ahoma" w:hAnsi="Tahoma" w:eastAsia="Times New Roman" w:cs="Tahoma"/>
                <w:color w:val="000000"/>
                <w:sz w:val="24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Monitorowanie bazy danych systemu HIS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8"/>
                <w:szCs w:val="18"/>
                <w:lang w:eastAsia="zh-CN"/>
              </w:rPr>
            </w:pPr>
            <w:r>
              <w:rPr>
                <w:rFonts w:eastAsia="Times New Roman" w:cs="Tahoma" w:ascii="Tahoma" w:hAnsi="Tahoma"/>
                <w:sz w:val="18"/>
                <w:szCs w:val="18"/>
                <w:lang w:eastAsia="zh-CN"/>
              </w:rPr>
            </w:r>
          </w:p>
        </w:tc>
      </w:tr>
    </w:tbl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tLeast" w:line="0"/>
        <w:ind w:hanging="855" w:left="4"/>
        <w:rPr>
          <w:rFonts w:ascii="Tahoma" w:hAnsi="Tahoma" w:eastAsia="Times New Roman" w:cs="Tahoma"/>
          <w:sz w:val="18"/>
          <w:szCs w:val="18"/>
        </w:rPr>
      </w:pPr>
      <w:r>
        <w:rPr>
          <w:rFonts w:eastAsia="Times New Roman" w:cs="Tahoma" w:ascii="Tahoma" w:hAnsi="Tahoma"/>
          <w:sz w:val="18"/>
          <w:szCs w:val="18"/>
        </w:rPr>
        <w:t xml:space="preserve">Zdarzenia i Incydenty sklasyfikowane na podstawie potencjalnego wpływu na środowisko IT Zamawiającego. </w:t>
      </w:r>
    </w:p>
    <w:p>
      <w:pPr>
        <w:pStyle w:val="Normal"/>
        <w:spacing w:lineRule="exact" w:line="256"/>
        <w:rPr>
          <w:rFonts w:ascii="Tahoma" w:hAnsi="Tahoma" w:eastAsia="Times New Roman" w:cs="Tahoma"/>
          <w:sz w:val="18"/>
          <w:szCs w:val="18"/>
        </w:rPr>
      </w:pPr>
      <w:r>
        <w:rPr>
          <w:rFonts w:eastAsia="Times New Roman" w:cs="Tahoma" w:ascii="Tahoma" w:hAnsi="Tahoma"/>
          <w:sz w:val="18"/>
          <w:szCs w:val="18"/>
        </w:rPr>
      </w:r>
    </w:p>
    <w:tbl>
      <w:tblPr>
        <w:tblStyle w:val="Tabela-Siatka"/>
        <w:tblW w:w="10774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2"/>
        <w:gridCol w:w="3314"/>
        <w:gridCol w:w="2660"/>
        <w:gridCol w:w="3097"/>
      </w:tblGrid>
      <w:tr>
        <w:trPr>
          <w:trHeight w:val="237" w:hRule="atLeast"/>
        </w:trPr>
        <w:tc>
          <w:tcPr>
            <w:tcW w:w="1702" w:type="dxa"/>
            <w:tcBorders/>
          </w:tcPr>
          <w:p>
            <w:pPr>
              <w:pStyle w:val="Normal"/>
              <w:widowControl/>
              <w:spacing w:lineRule="atLeast" w:line="0" w:before="0" w:after="0"/>
              <w:jc w:val="center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Poziom</w:t>
            </w:r>
          </w:p>
        </w:tc>
        <w:tc>
          <w:tcPr>
            <w:tcW w:w="3314" w:type="dxa"/>
            <w:tcBorders/>
          </w:tcPr>
          <w:p>
            <w:pPr>
              <w:pStyle w:val="Normal"/>
              <w:widowControl/>
              <w:spacing w:lineRule="atLeast" w:line="0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Opis</w:t>
            </w:r>
          </w:p>
        </w:tc>
        <w:tc>
          <w:tcPr>
            <w:tcW w:w="2660" w:type="dxa"/>
            <w:tcBorders/>
          </w:tcPr>
          <w:p>
            <w:pPr>
              <w:pStyle w:val="Normal"/>
              <w:widowControl/>
              <w:spacing w:lineRule="atLeast" w:line="0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Zagrożenie</w:t>
            </w:r>
          </w:p>
        </w:tc>
        <w:tc>
          <w:tcPr>
            <w:tcW w:w="3097" w:type="dxa"/>
            <w:tcBorders/>
          </w:tcPr>
          <w:p>
            <w:pPr>
              <w:pStyle w:val="Normal"/>
              <w:widowControl/>
              <w:spacing w:lineRule="atLeast" w:line="0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Incydent (przykład)</w:t>
            </w:r>
          </w:p>
        </w:tc>
      </w:tr>
      <w:tr>
        <w:trPr>
          <w:trHeight w:val="1111" w:hRule="atLeast"/>
        </w:trPr>
        <w:tc>
          <w:tcPr>
            <w:tcW w:w="1702" w:type="dxa"/>
            <w:tcBorders/>
          </w:tcPr>
          <w:p>
            <w:pPr>
              <w:pStyle w:val="Normal"/>
              <w:widowControl/>
              <w:spacing w:lineRule="exact" w:line="217" w:before="0" w:after="0"/>
              <w:jc w:val="center"/>
              <w:rPr>
                <w:rFonts w:ascii="Tahoma" w:hAnsi="Tahoma" w:eastAsia="Times New Roman" w:cs="Tahoma"/>
                <w:b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kern w:val="0"/>
                <w:sz w:val="18"/>
                <w:szCs w:val="18"/>
                <w:lang w:val="pl-PL" w:eastAsia="en-US" w:bidi="ar-SA"/>
              </w:rPr>
              <w:t>Krytyczny</w:t>
            </w:r>
          </w:p>
        </w:tc>
        <w:tc>
          <w:tcPr>
            <w:tcW w:w="3314" w:type="dxa"/>
            <w:tcBorders/>
          </w:tcPr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Niezbędne natychmiastowe działanie</w:t>
            </w:r>
          </w:p>
          <w:p>
            <w:pPr>
              <w:pStyle w:val="Normal"/>
              <w:widowControl/>
              <w:spacing w:lineRule="atLeast" w:line="0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złagodzić obecne złośliwe oprogramowanie</w:t>
            </w:r>
          </w:p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działalność</w:t>
            </w:r>
          </w:p>
        </w:tc>
        <w:tc>
          <w:tcPr>
            <w:tcW w:w="2660" w:type="dxa"/>
            <w:tcBorders/>
          </w:tcPr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- Przerwa w działaniu serwera</w:t>
            </w:r>
          </w:p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- Brak odbioru danych z</w:t>
            </w:r>
          </w:p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lokalizacja klienta</w:t>
            </w:r>
          </w:p>
        </w:tc>
        <w:tc>
          <w:tcPr>
            <w:tcW w:w="3097" w:type="dxa"/>
            <w:tcBorders/>
          </w:tcPr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Wyciek danych</w:t>
            </w:r>
          </w:p>
        </w:tc>
      </w:tr>
      <w:tr>
        <w:trPr>
          <w:trHeight w:val="1401" w:hRule="atLeast"/>
        </w:trPr>
        <w:tc>
          <w:tcPr>
            <w:tcW w:w="1702" w:type="dxa"/>
            <w:tcBorders/>
          </w:tcPr>
          <w:p>
            <w:pPr>
              <w:pStyle w:val="Normal"/>
              <w:widowControl/>
              <w:spacing w:lineRule="exact" w:line="219" w:before="0" w:after="0"/>
              <w:jc w:val="center"/>
              <w:rPr>
                <w:rFonts w:ascii="Tahoma" w:hAnsi="Tahoma" w:eastAsia="Times New Roman" w:cs="Tahoma"/>
                <w:b/>
                <w:w w:val="99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w w:val="99"/>
                <w:kern w:val="0"/>
                <w:sz w:val="18"/>
                <w:szCs w:val="18"/>
                <w:lang w:val="pl-PL" w:eastAsia="en-US" w:bidi="ar-SA"/>
              </w:rPr>
              <w:t>3</w:t>
            </w:r>
          </w:p>
        </w:tc>
        <w:tc>
          <w:tcPr>
            <w:tcW w:w="3314" w:type="dxa"/>
            <w:tcBorders/>
          </w:tcPr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Wysokie prawdopodobieństwo incydentu, jeśli nie podejmuje się działań zapobiegawczych</w:t>
            </w:r>
          </w:p>
        </w:tc>
        <w:tc>
          <w:tcPr>
            <w:tcW w:w="2660" w:type="dxa"/>
            <w:tcBorders/>
          </w:tcPr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- Znaczące zmiany w SEIM</w:t>
            </w:r>
          </w:p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- wskazanie natężenia ruchu danych obniżona wydajność potencjał</w:t>
            </w:r>
          </w:p>
        </w:tc>
        <w:tc>
          <w:tcPr>
            <w:tcW w:w="3097" w:type="dxa"/>
            <w:tcBorders/>
          </w:tcPr>
          <w:p>
            <w:pPr>
              <w:pStyle w:val="Normal"/>
              <w:widowControl/>
              <w:spacing w:lineRule="exact" w:line="219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exact" w:line="219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Brak potwierdzenia</w:t>
            </w:r>
          </w:p>
        </w:tc>
      </w:tr>
      <w:tr>
        <w:trPr>
          <w:trHeight w:val="915" w:hRule="atLeast"/>
        </w:trPr>
        <w:tc>
          <w:tcPr>
            <w:tcW w:w="1702" w:type="dxa"/>
            <w:tcBorders/>
          </w:tcPr>
          <w:p>
            <w:pPr>
              <w:pStyle w:val="Normal"/>
              <w:widowControl/>
              <w:spacing w:lineRule="exact" w:line="217" w:before="0" w:after="0"/>
              <w:jc w:val="center"/>
              <w:rPr>
                <w:rFonts w:ascii="Tahoma" w:hAnsi="Tahoma" w:eastAsia="Times New Roman" w:cs="Tahoma"/>
                <w:b/>
                <w:w w:val="99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w w:val="99"/>
                <w:kern w:val="0"/>
                <w:sz w:val="18"/>
                <w:szCs w:val="18"/>
                <w:lang w:val="pl-PL" w:eastAsia="en-US" w:bidi="ar-SA"/>
              </w:rPr>
              <w:t>2</w:t>
            </w:r>
          </w:p>
        </w:tc>
        <w:tc>
          <w:tcPr>
            <w:tcW w:w="3314" w:type="dxa"/>
            <w:tcBorders/>
          </w:tcPr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Niski potencjalny incydent</w:t>
            </w:r>
          </w:p>
        </w:tc>
        <w:tc>
          <w:tcPr>
            <w:tcW w:w="2660" w:type="dxa"/>
            <w:tcBorders/>
          </w:tcPr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- Użytkownik nie zaktualizował</w:t>
            </w:r>
          </w:p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hasła w wymaganym odstępie czasu</w:t>
            </w:r>
          </w:p>
        </w:tc>
        <w:tc>
          <w:tcPr>
            <w:tcW w:w="3097" w:type="dxa"/>
            <w:tcBorders/>
          </w:tcPr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Znaleziony wirus na stacji roboczej</w:t>
            </w:r>
          </w:p>
        </w:tc>
      </w:tr>
      <w:tr>
        <w:trPr>
          <w:trHeight w:val="675" w:hRule="atLeast"/>
        </w:trPr>
        <w:tc>
          <w:tcPr>
            <w:tcW w:w="1702" w:type="dxa"/>
            <w:tcBorders/>
          </w:tcPr>
          <w:p>
            <w:pPr>
              <w:pStyle w:val="Normal"/>
              <w:widowControl/>
              <w:spacing w:lineRule="exact" w:line="219" w:before="0" w:after="0"/>
              <w:jc w:val="center"/>
              <w:rPr>
                <w:rFonts w:ascii="Tahoma" w:hAnsi="Tahoma" w:eastAsia="Times New Roman" w:cs="Tahoma"/>
                <w:b/>
                <w:w w:val="99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w w:val="99"/>
                <w:kern w:val="0"/>
                <w:sz w:val="18"/>
                <w:szCs w:val="18"/>
                <w:lang w:val="pl-PL" w:eastAsia="en-US" w:bidi="ar-SA"/>
              </w:rPr>
              <w:t>1</w:t>
            </w:r>
          </w:p>
        </w:tc>
        <w:tc>
          <w:tcPr>
            <w:tcW w:w="3314" w:type="dxa"/>
            <w:tcBorders/>
          </w:tcPr>
          <w:p>
            <w:pPr>
              <w:pStyle w:val="Normal"/>
              <w:widowControl/>
              <w:spacing w:lineRule="exact" w:line="217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Aktywności utrzymaniowe lub informacyjne</w:t>
            </w:r>
          </w:p>
        </w:tc>
        <w:tc>
          <w:tcPr>
            <w:tcW w:w="2660" w:type="dxa"/>
            <w:tcBorders/>
          </w:tcPr>
          <w:p>
            <w:pPr>
              <w:pStyle w:val="Normal"/>
              <w:widowControl/>
              <w:spacing w:lineRule="exact" w:line="219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-</w:t>
            </w:r>
          </w:p>
        </w:tc>
        <w:tc>
          <w:tcPr>
            <w:tcW w:w="3097" w:type="dxa"/>
            <w:tcBorders/>
          </w:tcPr>
          <w:p>
            <w:pPr>
              <w:pStyle w:val="Normal"/>
              <w:widowControl/>
              <w:spacing w:lineRule="exact" w:line="219" w:before="0" w:after="0"/>
              <w:ind w:left="8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Raport</w:t>
            </w:r>
          </w:p>
        </w:tc>
      </w:tr>
    </w:tbl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eastAsia="Times New Roman" w:cs="Tahoma"/>
          <w:sz w:val="18"/>
          <w:szCs w:val="18"/>
        </w:rPr>
      </w:pPr>
      <w:r>
        <w:rPr>
          <w:rFonts w:eastAsia="Times New Roman" w:cs="Tahoma" w:ascii="Tahoma" w:hAnsi="Tahoma"/>
          <w:sz w:val="18"/>
          <w:szCs w:val="18"/>
        </w:rPr>
      </w:r>
      <w:r>
        <w:br w:type="page"/>
      </w:r>
    </w:p>
    <w:p>
      <w:pPr>
        <w:pStyle w:val="Normal"/>
        <w:spacing w:lineRule="atLeast" w:line="0" w:before="0" w:after="160"/>
        <w:ind w:hanging="855" w:left="4"/>
        <w:rPr>
          <w:rFonts w:ascii="Tahoma" w:hAnsi="Tahoma" w:eastAsia="Times New Roman" w:cs="Tahoma"/>
          <w:sz w:val="18"/>
          <w:szCs w:val="18"/>
        </w:rPr>
      </w:pPr>
      <w:r>
        <w:rPr>
          <w:rFonts w:eastAsia="Times New Roman" w:cs="Tahoma" w:ascii="Tahoma" w:hAnsi="Tahoma"/>
          <w:sz w:val="18"/>
          <w:szCs w:val="18"/>
        </w:rPr>
        <w:t>W oparciu o powyższą klasyfikację ustalone zostały odpowiednie poziomy SLA</w:t>
      </w:r>
    </w:p>
    <w:p>
      <w:pPr>
        <w:pStyle w:val="Normal"/>
        <w:spacing w:lineRule="atLeast" w:line="0"/>
        <w:ind w:left="4"/>
        <w:rPr>
          <w:rFonts w:ascii="Tahoma" w:hAnsi="Tahoma" w:eastAsia="Times New Roman" w:cs="Tahoma"/>
          <w:sz w:val="18"/>
          <w:szCs w:val="18"/>
        </w:rPr>
      </w:pPr>
      <w:r>
        <w:rPr>
          <w:rFonts w:eastAsia="Times New Roman" w:cs="Tahoma" w:ascii="Tahoma" w:hAnsi="Tahoma"/>
          <w:sz w:val="18"/>
          <w:szCs w:val="18"/>
        </w:rPr>
      </w:r>
    </w:p>
    <w:tbl>
      <w:tblPr>
        <w:tblStyle w:val="Tabela-Siatka"/>
        <w:tblW w:w="9923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1"/>
        <w:gridCol w:w="3403"/>
        <w:gridCol w:w="2550"/>
        <w:gridCol w:w="2268"/>
      </w:tblGrid>
      <w:tr>
        <w:trPr>
          <w:trHeight w:val="219" w:hRule="atLeast"/>
        </w:trPr>
        <w:tc>
          <w:tcPr>
            <w:tcW w:w="1701" w:type="dxa"/>
            <w:tcBorders/>
          </w:tcPr>
          <w:p>
            <w:pPr>
              <w:pStyle w:val="Normal"/>
              <w:widowControl/>
              <w:spacing w:lineRule="exact" w:line="219" w:before="0" w:after="0"/>
              <w:jc w:val="center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Poziom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exact" w:line="219" w:before="0" w:after="0"/>
              <w:jc w:val="center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Opis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exact" w:line="219" w:before="0" w:after="0"/>
              <w:jc w:val="center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Zagrożenie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exact" w:line="219" w:before="0" w:after="0"/>
              <w:ind w:left="92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SLA</w:t>
            </w:r>
          </w:p>
        </w:tc>
      </w:tr>
      <w:tr>
        <w:trPr>
          <w:trHeight w:val="218" w:hRule="atLeast"/>
        </w:trPr>
        <w:tc>
          <w:tcPr>
            <w:tcW w:w="1701" w:type="dxa"/>
            <w:tcBorders/>
          </w:tcPr>
          <w:p>
            <w:pPr>
              <w:pStyle w:val="Normal"/>
              <w:widowControl/>
              <w:spacing w:lineRule="exact" w:line="218" w:before="0" w:after="0"/>
              <w:jc w:val="center"/>
              <w:rPr>
                <w:rFonts w:ascii="Tahoma" w:hAnsi="Tahoma" w:eastAsia="Times New Roman" w:cs="Tahoma"/>
                <w:b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kern w:val="0"/>
                <w:sz w:val="18"/>
                <w:szCs w:val="18"/>
                <w:lang w:val="pl-PL" w:eastAsia="en-US" w:bidi="ar-SA"/>
              </w:rPr>
              <w:t>Critical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exact" w:line="218" w:before="0" w:after="0"/>
              <w:jc w:val="center"/>
              <w:rPr>
                <w:rFonts w:ascii="Tahoma" w:hAnsi="Tahoma" w:eastAsia="Times New Roman" w:cs="Tahoma"/>
                <w:w w:val="99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w w:val="99"/>
                <w:kern w:val="0"/>
                <w:sz w:val="18"/>
                <w:szCs w:val="18"/>
                <w:lang w:val="pl-PL" w:eastAsia="en-US" w:bidi="ar-SA"/>
              </w:rPr>
              <w:t>1 godzina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exact" w:line="218" w:before="0" w:after="0"/>
              <w:jc w:val="center"/>
              <w:rPr>
                <w:rFonts w:ascii="Tahoma" w:hAnsi="Tahoma" w:eastAsia="Times New Roman" w:cs="Tahoma"/>
                <w:w w:val="99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w w:val="99"/>
                <w:kern w:val="0"/>
                <w:sz w:val="18"/>
                <w:szCs w:val="18"/>
                <w:lang w:val="pl-PL" w:eastAsia="en-US" w:bidi="ar-SA"/>
              </w:rPr>
              <w:t>1 godzina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exact" w:line="218" w:before="0" w:after="0"/>
              <w:ind w:left="92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96%</w:t>
            </w:r>
          </w:p>
        </w:tc>
      </w:tr>
      <w:tr>
        <w:trPr>
          <w:trHeight w:val="220" w:hRule="atLeast"/>
        </w:trPr>
        <w:tc>
          <w:tcPr>
            <w:tcW w:w="1701" w:type="dxa"/>
            <w:tcBorders/>
          </w:tcPr>
          <w:p>
            <w:pPr>
              <w:pStyle w:val="Normal"/>
              <w:widowControl/>
              <w:spacing w:lineRule="exact" w:line="220" w:before="0" w:after="0"/>
              <w:jc w:val="center"/>
              <w:rPr>
                <w:rFonts w:ascii="Tahoma" w:hAnsi="Tahoma" w:eastAsia="Times New Roman" w:cs="Tahoma"/>
                <w:b/>
                <w:w w:val="99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w w:val="99"/>
                <w:kern w:val="0"/>
                <w:sz w:val="18"/>
                <w:szCs w:val="18"/>
                <w:lang w:val="pl-PL" w:eastAsia="en-US" w:bidi="ar-SA"/>
              </w:rPr>
              <w:t>3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exact" w:line="220" w:before="0" w:after="0"/>
              <w:jc w:val="center"/>
              <w:rPr>
                <w:rFonts w:ascii="Tahoma" w:hAnsi="Tahoma" w:eastAsia="Times New Roman" w:cs="Tahoma"/>
                <w:w w:val="97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w w:val="97"/>
                <w:kern w:val="0"/>
                <w:sz w:val="18"/>
                <w:szCs w:val="18"/>
                <w:lang w:val="pl-PL" w:eastAsia="en-US" w:bidi="ar-SA"/>
              </w:rPr>
              <w:t xml:space="preserve">24 </w:t>
            </w:r>
            <w:r>
              <w:rPr>
                <w:rFonts w:eastAsia="Times New Roman" w:cs="Tahoma" w:ascii="Tahoma" w:hAnsi="Tahoma"/>
                <w:w w:val="99"/>
                <w:kern w:val="0"/>
                <w:sz w:val="18"/>
                <w:szCs w:val="18"/>
                <w:lang w:val="pl-PL" w:eastAsia="en-US" w:bidi="ar-SA"/>
              </w:rPr>
              <w:t>godziny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exact" w:line="220" w:before="0" w:after="0"/>
              <w:jc w:val="center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 xml:space="preserve">2 </w:t>
            </w:r>
            <w:r>
              <w:rPr>
                <w:rFonts w:eastAsia="Times New Roman" w:cs="Tahoma" w:ascii="Tahoma" w:hAnsi="Tahoma"/>
                <w:w w:val="99"/>
                <w:kern w:val="0"/>
                <w:sz w:val="18"/>
                <w:szCs w:val="18"/>
                <w:lang w:val="pl-PL" w:eastAsia="en-US" w:bidi="ar-SA"/>
              </w:rPr>
              <w:t>godziny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exact" w:line="220" w:before="0" w:after="0"/>
              <w:ind w:left="92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96%</w:t>
            </w:r>
          </w:p>
        </w:tc>
      </w:tr>
      <w:tr>
        <w:trPr>
          <w:trHeight w:val="220" w:hRule="atLeast"/>
        </w:trPr>
        <w:tc>
          <w:tcPr>
            <w:tcW w:w="1701" w:type="dxa"/>
            <w:tcBorders/>
          </w:tcPr>
          <w:p>
            <w:pPr>
              <w:pStyle w:val="Normal"/>
              <w:widowControl/>
              <w:spacing w:lineRule="exact" w:line="220" w:before="0" w:after="0"/>
              <w:jc w:val="center"/>
              <w:rPr>
                <w:rFonts w:ascii="Tahoma" w:hAnsi="Tahoma" w:eastAsia="Times New Roman" w:cs="Tahoma"/>
                <w:b/>
                <w:w w:val="99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w w:val="99"/>
                <w:kern w:val="0"/>
                <w:sz w:val="18"/>
                <w:szCs w:val="18"/>
                <w:lang w:val="pl-PL" w:eastAsia="en-US" w:bidi="ar-SA"/>
              </w:rPr>
              <w:t>2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exact" w:line="220" w:before="0" w:after="0"/>
              <w:jc w:val="center"/>
              <w:rPr>
                <w:rFonts w:ascii="Tahoma" w:hAnsi="Tahoma" w:eastAsia="Times New Roman" w:cs="Tahoma"/>
                <w:w w:val="97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w w:val="97"/>
                <w:kern w:val="0"/>
                <w:sz w:val="18"/>
                <w:szCs w:val="18"/>
                <w:lang w:val="pl-PL" w:eastAsia="en-US" w:bidi="ar-SA"/>
              </w:rPr>
              <w:t xml:space="preserve">72 </w:t>
            </w:r>
            <w:r>
              <w:rPr>
                <w:rFonts w:eastAsia="Times New Roman" w:cs="Tahoma" w:ascii="Tahoma" w:hAnsi="Tahoma"/>
                <w:w w:val="99"/>
                <w:kern w:val="0"/>
                <w:sz w:val="18"/>
                <w:szCs w:val="18"/>
                <w:lang w:val="pl-PL" w:eastAsia="en-US" w:bidi="ar-SA"/>
              </w:rPr>
              <w:t>godziny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exact" w:line="220" w:before="0" w:after="0"/>
              <w:jc w:val="center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 xml:space="preserve">8 </w:t>
            </w:r>
            <w:r>
              <w:rPr>
                <w:rFonts w:eastAsia="Times New Roman" w:cs="Tahoma" w:ascii="Tahoma" w:hAnsi="Tahoma"/>
                <w:w w:val="99"/>
                <w:kern w:val="0"/>
                <w:sz w:val="18"/>
                <w:szCs w:val="18"/>
                <w:lang w:val="pl-PL" w:eastAsia="en-US" w:bidi="ar-SA"/>
              </w:rPr>
              <w:t>godzin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exact" w:line="220" w:before="0" w:after="0"/>
              <w:ind w:left="92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96%</w:t>
            </w:r>
          </w:p>
        </w:tc>
      </w:tr>
      <w:tr>
        <w:trPr>
          <w:trHeight w:val="220" w:hRule="atLeast"/>
        </w:trPr>
        <w:tc>
          <w:tcPr>
            <w:tcW w:w="1701" w:type="dxa"/>
            <w:tcBorders/>
          </w:tcPr>
          <w:p>
            <w:pPr>
              <w:pStyle w:val="Normal"/>
              <w:widowControl/>
              <w:spacing w:lineRule="exact" w:line="220" w:before="0" w:after="0"/>
              <w:jc w:val="center"/>
              <w:rPr>
                <w:rFonts w:ascii="Tahoma" w:hAnsi="Tahoma" w:eastAsia="Times New Roman" w:cs="Tahoma"/>
                <w:b/>
                <w:w w:val="99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w w:val="99"/>
                <w:kern w:val="0"/>
                <w:sz w:val="18"/>
                <w:szCs w:val="18"/>
                <w:lang w:val="pl-PL" w:eastAsia="en-US" w:bidi="ar-SA"/>
              </w:rPr>
              <w:t>1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exact" w:line="220" w:before="0" w:after="0"/>
              <w:jc w:val="center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5 dni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exact" w:line="220" w:before="0" w:after="0"/>
              <w:jc w:val="center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24 godzin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exact" w:line="220" w:before="0" w:after="0"/>
              <w:ind w:left="920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pl-PL" w:eastAsia="en-US" w:bidi="ar-SA"/>
              </w:rPr>
              <w:t>96%</w:t>
            </w:r>
          </w:p>
        </w:tc>
      </w:tr>
    </w:tbl>
    <w:p>
      <w:pPr>
        <w:pStyle w:val="Normal"/>
        <w:ind w:hanging="993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ind w:hanging="993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Wymagania dodatkowe:</w:t>
      </w:r>
    </w:p>
    <w:p>
      <w:pPr>
        <w:pStyle w:val="Normal"/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- W przypadku instalacji przez Zamawiającego nowego rozwiązania obejmującego powyższy zakres, Wykonawca zobowiązany jest podłączyć je do systemu monitorowania SOC w terminie do 14 dni od momentu podpisania umowy.</w:t>
      </w:r>
    </w:p>
    <w:p>
      <w:pPr>
        <w:pStyle w:val="Normal"/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- Producent systemu SOC musi posiadać certyfikacje w zakresie:</w:t>
      </w:r>
    </w:p>
    <w:p>
      <w:pPr>
        <w:pStyle w:val="Normal"/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ŚWIADCZENIA USŁUGI SECURITY OPERATION CENTER - REAGOWANIE NA ZAGROŻENIA CYBERBEZPIECZEŃSTWA, zgodnie z normą ISO ISO/IEC 27001:2017</w:t>
      </w:r>
    </w:p>
    <w:p>
      <w:pPr>
        <w:pStyle w:val="Normal"/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before="0" w:after="160"/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Wykonawca zobowiązany jest przeprowadzić szkolenie dla personelu Zamawiającego (6 osób) z podstawowej i zaawansowanej obsługi przedmiotu zamówienia (obsługa zdarzeń SOC/SIEM). Wykonawca po zakończonych szkolenia wyda przeszkolonym pracownikom Zamawiającego certyfikaty potwierdzające udział w przeprowadzonych szkoleniach.</w:t>
      </w:r>
    </w:p>
    <w:sectPr>
      <w:type w:val="nextPage"/>
      <w:pgSz w:w="11906" w:h="16838"/>
      <w:pgMar w:left="1560" w:right="849" w:gutter="0" w:header="0" w:top="85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sz w:val="20"/>
        <w:i w:val="false"/>
        <w:u w:val="none" w:color="000000"/>
        <w:b w:val="false"/>
        <w:szCs w:val="20"/>
        <w:color w:val="00000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rsid w:val="0061128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BezodstpwZnak" w:customStyle="1">
    <w:name w:val="Bez odstępów Znak"/>
    <w:link w:val="NoSpacing"/>
    <w:qFormat/>
    <w:rsid w:val="00611288"/>
    <w:rPr>
      <w:lang w:val="en-US" w:bidi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Standard" w:customStyle="1">
    <w:name w:val="Standard"/>
    <w:uiPriority w:val="99"/>
    <w:qFormat/>
    <w:rsid w:val="00385104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paragraph" w:styleId="Akapitzlistb9" w:customStyle="1">
    <w:name w:val="Akapit z listąb9"/>
    <w:basedOn w:val="Normal"/>
    <w:uiPriority w:val="99"/>
    <w:qFormat/>
    <w:rsid w:val="00385104"/>
    <w:pPr>
      <w:spacing w:lineRule="auto" w:line="264" w:before="0" w:after="15"/>
      <w:ind w:hanging="5" w:left="720" w:right="38"/>
      <w:contextualSpacing/>
      <w:jc w:val="both"/>
    </w:pPr>
    <w:rPr>
      <w:rFonts w:ascii="Times New Roman" w:hAnsi="Times New Roman" w:eastAsia="Times New Roman" w:cs="Times New Roman"/>
      <w:color w:val="000000"/>
      <w:sz w:val="24"/>
    </w:rPr>
  </w:style>
  <w:style w:type="paragraph" w:styleId="ListParagraph">
    <w:name w:val="List Paragraph"/>
    <w:basedOn w:val="Normal"/>
    <w:link w:val="AkapitzlistZnak"/>
    <w:uiPriority w:val="34"/>
    <w:qFormat/>
    <w:rsid w:val="00611288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oSpacing">
    <w:name w:val="No Spacing"/>
    <w:link w:val="BezodstpwZnak"/>
    <w:qFormat/>
    <w:rsid w:val="0061128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bidi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02b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Application>LibreOffice/7.6.3.2$Windows_X86_64 LibreOffice_project/29d686fea9f6705b262d369fede658f824154cc0</Application>
  <AppVersion>15.0000</AppVersion>
  <Pages>7</Pages>
  <Words>1341</Words>
  <Characters>8868</Characters>
  <CharactersWithSpaces>9905</CharactersWithSpaces>
  <Paragraphs>219</Paragraphs>
  <Company>GPSK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2024-02-07T08:08:00Z</dcterms:created>
  <dc:creator>Łukasz Olesiński</dc:creator>
  <dc:description/>
  <dc:language>pl-PL</dc:language>
  <cp:lastModifiedBy/>
  <dcterms:modified xsi:type="dcterms:W3CDTF">2024-02-23T14:40:44Z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