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05" w:rsidRDefault="00267A05" w:rsidP="00267A05">
      <w:pPr>
        <w:spacing w:after="0" w:line="240" w:lineRule="auto"/>
        <w:ind w:left="708"/>
        <w:jc w:val="both"/>
        <w:rPr>
          <w:b/>
        </w:rPr>
      </w:pPr>
    </w:p>
    <w:p w:rsidR="00267A05" w:rsidRDefault="00267A05" w:rsidP="00267A0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06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 (OPZ)</w:t>
      </w:r>
    </w:p>
    <w:p w:rsidR="00267A05" w:rsidRPr="00B11A04" w:rsidRDefault="00267A05" w:rsidP="00267A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A05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1A04">
        <w:rPr>
          <w:b/>
        </w:rPr>
        <w:t>„</w:t>
      </w:r>
      <w:r w:rsidRPr="00B11A04">
        <w:rPr>
          <w:rFonts w:cstheme="minorHAnsi"/>
          <w:b/>
          <w:sz w:val="24"/>
          <w:szCs w:val="24"/>
        </w:rPr>
        <w:t xml:space="preserve">Budowa </w:t>
      </w:r>
      <w:r w:rsidRPr="00B11A04">
        <w:rPr>
          <w:rFonts w:ascii="Times New Roman" w:eastAsia="Times New Roman" w:hAnsi="Times New Roman" w:cs="Times New Roman"/>
          <w:b/>
          <w:sz w:val="24"/>
          <w:szCs w:val="24"/>
        </w:rPr>
        <w:t xml:space="preserve"> budynku magazynowego. Inwestycja zlokalizowana jest w miejscowości Świnoujście na terenie działki o nr </w:t>
      </w:r>
      <w:proofErr w:type="spellStart"/>
      <w:r w:rsidRPr="00B11A04">
        <w:rPr>
          <w:rFonts w:ascii="Times New Roman" w:eastAsia="Times New Roman" w:hAnsi="Times New Roman" w:cs="Times New Roman"/>
          <w:b/>
          <w:sz w:val="24"/>
          <w:szCs w:val="24"/>
        </w:rPr>
        <w:t>ewid</w:t>
      </w:r>
      <w:proofErr w:type="spellEnd"/>
      <w:r w:rsidRPr="00B11A04">
        <w:rPr>
          <w:rFonts w:ascii="Times New Roman" w:eastAsia="Times New Roman" w:hAnsi="Times New Roman" w:cs="Times New Roman"/>
          <w:b/>
          <w:sz w:val="24"/>
          <w:szCs w:val="24"/>
        </w:rPr>
        <w:t>. 209/8 obręb 0010 Miasta Świnoujście, stanowiącej teren zamknięty MON”</w:t>
      </w:r>
    </w:p>
    <w:p w:rsidR="00267A05" w:rsidRPr="00B11A04" w:rsidRDefault="00267A05" w:rsidP="00267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A04">
        <w:rPr>
          <w:rFonts w:ascii="Times New Roman" w:eastAsia="Times New Roman" w:hAnsi="Times New Roman" w:cs="Times New Roman"/>
          <w:b/>
          <w:sz w:val="24"/>
          <w:szCs w:val="24"/>
        </w:rPr>
        <w:t>Część II</w:t>
      </w:r>
    </w:p>
    <w:p w:rsidR="00267A05" w:rsidRPr="00B11A04" w:rsidRDefault="00267A05" w:rsidP="00267A0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A04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parkingu dla samochodów osobowych na terenie działki nr 210 obręb 0010 Świnoujście, stanowiącym teren zamknięty MON” </w:t>
      </w:r>
    </w:p>
    <w:p w:rsidR="00122274" w:rsidRDefault="00122274" w:rsidP="0026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A05" w:rsidRDefault="00122274" w:rsidP="0026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może złożyć  na jedną lub na obie części zamówienia.</w:t>
      </w:r>
    </w:p>
    <w:p w:rsidR="00F16606" w:rsidRDefault="00F16606" w:rsidP="003D3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00" w:rsidRPr="006723CD" w:rsidRDefault="00BC7400" w:rsidP="00E70D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</w:rPr>
        <w:t>Przedmiot</w:t>
      </w:r>
      <w:r w:rsidR="00F16606" w:rsidRPr="00E70DB1">
        <w:rPr>
          <w:rFonts w:ascii="Times New Roman" w:eastAsia="Times New Roman" w:hAnsi="Times New Roman" w:cs="Times New Roman"/>
          <w:b/>
          <w:sz w:val="24"/>
          <w:szCs w:val="24"/>
        </w:rPr>
        <w:t xml:space="preserve"> zamówienia</w:t>
      </w:r>
      <w:r w:rsidR="00B11A04">
        <w:rPr>
          <w:rFonts w:ascii="Times New Roman" w:eastAsia="Times New Roman" w:hAnsi="Times New Roman" w:cs="Times New Roman"/>
          <w:b/>
          <w:sz w:val="24"/>
          <w:szCs w:val="24"/>
        </w:rPr>
        <w:t xml:space="preserve"> – część I</w:t>
      </w:r>
      <w:r w:rsidR="00F16606" w:rsidRPr="00E7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D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3CD" w:rsidRPr="006723CD">
        <w:rPr>
          <w:rFonts w:ascii="Times New Roman" w:eastAsia="Times New Roman" w:hAnsi="Times New Roman" w:cs="Times New Roman"/>
          <w:b/>
          <w:sz w:val="24"/>
          <w:szCs w:val="24"/>
        </w:rPr>
        <w:t>MAGAZYN</w:t>
      </w:r>
    </w:p>
    <w:p w:rsidR="007B1945" w:rsidRPr="00B11A04" w:rsidRDefault="00F16606" w:rsidP="00040C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0A4">
        <w:rPr>
          <w:rFonts w:ascii="Times New Roman" w:eastAsia="Times New Roman" w:hAnsi="Times New Roman" w:cs="Times New Roman"/>
          <w:sz w:val="24"/>
          <w:szCs w:val="24"/>
        </w:rPr>
        <w:t> budowa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>budynku</w:t>
      </w:r>
      <w:r w:rsidR="007B1945" w:rsidRPr="00BC7400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9B4D26" w:rsidRPr="00BC7400">
        <w:rPr>
          <w:rFonts w:ascii="Times New Roman" w:eastAsia="Times New Roman" w:hAnsi="Times New Roman" w:cs="Times New Roman"/>
          <w:sz w:val="24"/>
          <w:szCs w:val="24"/>
        </w:rPr>
        <w:t>agazynowego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 xml:space="preserve"> na podstawie dokumentacji projektowej opracowanej przez Pracownię Projektową Most sp. z o.o. z Poznania.</w:t>
      </w:r>
      <w:r w:rsidR="00BC7400"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 xml:space="preserve">Dokumentacja zawiera projekty branżowe budowlane oraz wykonawcze, które stanowią załącznik do </w:t>
      </w:r>
      <w:r w:rsidR="00AA50A4">
        <w:rPr>
          <w:rFonts w:ascii="Times New Roman" w:eastAsia="Times New Roman" w:hAnsi="Times New Roman" w:cs="Times New Roman"/>
          <w:sz w:val="24"/>
          <w:szCs w:val="24"/>
        </w:rPr>
        <w:t xml:space="preserve">OPZ i 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>SWZ.</w:t>
      </w:r>
      <w:r w:rsid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>Inwestycja zlokalizowana jest w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miejscowości Świnoujście na terenie działki o nr </w:t>
      </w:r>
      <w:proofErr w:type="spellStart"/>
      <w:r w:rsidRPr="00BC7400">
        <w:rPr>
          <w:rFonts w:ascii="Times New Roman" w:eastAsia="Times New Roman" w:hAnsi="Times New Roman" w:cs="Times New Roman"/>
          <w:sz w:val="24"/>
          <w:szCs w:val="24"/>
        </w:rPr>
        <w:t>ewid</w:t>
      </w:r>
      <w:proofErr w:type="spellEnd"/>
      <w:r w:rsidRPr="00BC7400">
        <w:rPr>
          <w:rFonts w:ascii="Times New Roman" w:eastAsia="Times New Roman" w:hAnsi="Times New Roman" w:cs="Times New Roman"/>
          <w:sz w:val="24"/>
          <w:szCs w:val="24"/>
        </w:rPr>
        <w:t>. 209/8, stanowiącej teren zamknięty MON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EDC" w:rsidRPr="00BC7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717" w:rsidRPr="00BC7400">
        <w:rPr>
          <w:rFonts w:ascii="Times New Roman" w:eastAsia="Times New Roman" w:hAnsi="Times New Roman" w:cs="Times New Roman"/>
          <w:sz w:val="24"/>
          <w:szCs w:val="24"/>
        </w:rPr>
        <w:t xml:space="preserve">Na terenie działki zlokalizowane są budynki służące obronności Państwa. </w:t>
      </w:r>
    </w:p>
    <w:p w:rsidR="007B1945" w:rsidRPr="00BC7400" w:rsidRDefault="00E71717" w:rsidP="00BC74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Teren inwestycji jest uzbrojony w infrastrukturę techniczną, tj. w instalacje elektroenergetyczną, wodociągową oraz kanalizacje sanitarną. </w:t>
      </w:r>
    </w:p>
    <w:p w:rsidR="00BC7400" w:rsidRDefault="00E71717" w:rsidP="00BC74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Brak </w:t>
      </w:r>
      <w:r w:rsidR="007B1945" w:rsidRPr="00BC7400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budynków przewidzianych do rozbiórki. </w:t>
      </w:r>
    </w:p>
    <w:p w:rsidR="003D3EDC" w:rsidRDefault="00E71717" w:rsidP="00BC74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0">
        <w:rPr>
          <w:rFonts w:ascii="Times New Roman" w:eastAsia="Times New Roman" w:hAnsi="Times New Roman" w:cs="Times New Roman"/>
          <w:sz w:val="24"/>
          <w:szCs w:val="24"/>
        </w:rPr>
        <w:t>Obsługa komunikacyjna odbywa się z działki drogowej - ul. Steyera poprzez sieć dróg wewnątrz kompleksu wojskowego.</w:t>
      </w:r>
    </w:p>
    <w:p w:rsidR="0089309C" w:rsidRPr="00120664" w:rsidRDefault="00AA50A4" w:rsidP="00BC74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jest w posiadaniu pozwolenia 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>na budowę nr</w:t>
      </w:r>
      <w:r w:rsidR="00120664" w:rsidRPr="00120664">
        <w:rPr>
          <w:rFonts w:ascii="Times New Roman" w:eastAsia="Times New Roman" w:hAnsi="Times New Roman" w:cs="Times New Roman"/>
          <w:sz w:val="24"/>
          <w:szCs w:val="24"/>
        </w:rPr>
        <w:t xml:space="preserve"> 6/0/2024 z dnia 10 czerwca 2024 r.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 xml:space="preserve"> stanowiącego załącznik nr 1 do OPZ</w:t>
      </w:r>
    </w:p>
    <w:p w:rsidR="00E70DB1" w:rsidRPr="00120664" w:rsidRDefault="00E70DB1" w:rsidP="00E7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483" w:rsidRPr="00E70DB1" w:rsidRDefault="007E5483" w:rsidP="00E70DB1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</w:rPr>
        <w:t>Dodatkowe informacje</w:t>
      </w:r>
    </w:p>
    <w:p w:rsidR="002C7015" w:rsidRPr="002C7015" w:rsidRDefault="002C7015" w:rsidP="002C701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:rsidR="002C7015" w:rsidRPr="002C7015" w:rsidRDefault="002C7015" w:rsidP="002C701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gabarytów (wielkość, rodzaj oraz liczba elementów składowych)  z tolerancją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± 5%</w:t>
      </w:r>
    </w:p>
    <w:p w:rsidR="002C7015" w:rsidRPr="002C7015" w:rsidRDefault="002C7015" w:rsidP="002C701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 xml:space="preserve">w specyfikacji technicznej. </w:t>
      </w:r>
    </w:p>
    <w:p w:rsidR="002C7015" w:rsidRPr="002C7015" w:rsidRDefault="002C7015" w:rsidP="002C701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parametrów bezpieczeństwa użytkowania – minimalnych określonych odrębnymi przepisami.</w:t>
      </w:r>
    </w:p>
    <w:p w:rsidR="002C7015" w:rsidRPr="002C7015" w:rsidRDefault="002C7015" w:rsidP="002C7015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 warunkiem, że do oferty wykonawcy załączono dokumenty z oznaczeniem producenta i typu oferowanego produktu określające parametry techniczne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równoważności z określonymi w dokumentacji projektowej </w:t>
      </w:r>
    </w:p>
    <w:p w:rsidR="002C7015" w:rsidRPr="002C7015" w:rsidRDefault="002C7015" w:rsidP="002C7015">
      <w:pPr>
        <w:spacing w:after="0" w:line="276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:rsidR="002C7015" w:rsidRPr="002C7015" w:rsidRDefault="002C7015" w:rsidP="002C7015">
      <w:pPr>
        <w:spacing w:before="120" w:after="120" w:line="276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:rsidR="00AA50A4" w:rsidRDefault="00AA50A4" w:rsidP="002C7015">
      <w:pPr>
        <w:numPr>
          <w:ilvl w:val="0"/>
          <w:numId w:val="3"/>
        </w:numPr>
        <w:spacing w:before="120" w:after="12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podania ceny ryczałtowej wykonania </w:t>
      </w:r>
      <w:r w:rsidR="0009460B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>
        <w:rPr>
          <w:rFonts w:ascii="Times New Roman" w:eastAsia="Times New Roman" w:hAnsi="Times New Roman" w:cs="Times New Roman"/>
          <w:sz w:val="24"/>
          <w:szCs w:val="24"/>
        </w:rPr>
        <w:t>zamówieni ustalonej</w:t>
      </w:r>
      <w:r w:rsidR="00094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podstawie przekazanej dokumentacji projektowej</w:t>
      </w:r>
    </w:p>
    <w:p w:rsidR="002C7015" w:rsidRPr="002C7015" w:rsidRDefault="002C7015" w:rsidP="002C7015">
      <w:pPr>
        <w:numPr>
          <w:ilvl w:val="0"/>
          <w:numId w:val="3"/>
        </w:numPr>
        <w:spacing w:before="120" w:after="12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Wszystkie materiały podstawowe i pomocnicze niezbędne do wykonania zadania zapewnia Wykonawca. </w:t>
      </w:r>
    </w:p>
    <w:p w:rsidR="002C7015" w:rsidRPr="002C7015" w:rsidRDefault="002C7015" w:rsidP="002C701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Wykonawca w cenie oferty zobowiązany jest także uwzględnić:</w:t>
      </w:r>
    </w:p>
    <w:p w:rsidR="002C7015" w:rsidRPr="002C7015" w:rsidRDefault="002C7015" w:rsidP="002C701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opłaty za organizacje ruchu,</w:t>
      </w:r>
    </w:p>
    <w:p w:rsidR="002C7015" w:rsidRPr="002C7015" w:rsidRDefault="002C7015" w:rsidP="002C701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opłaty za odtworzenie nawierzchni.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odtworzyć nawierzchnie do stanu pierwotnego zgodnie z ustaleniami z właścicielem pasa drogowego. 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Wykonawca zobowiązany jest zapewnić w trakcie prowadzenia robót pełne wygrodzenie placu budowy.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Zamawiający wymaga by minimalny okres gwarancji  i rękojmi wynosił 60 miesięcy.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Wszystkie istniejące ogrodzenia zniszczone lub przeznaczone na czas wykonywania robót do rozbiórki, należy odbudować.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oddania do zagospodarowania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lub/i unieszkodliwienia powstałych odpadów.</w:t>
      </w:r>
    </w:p>
    <w:p w:rsidR="002C7015" w:rsidRPr="002C7015" w:rsidRDefault="002C7015" w:rsidP="00EA3763">
      <w:pPr>
        <w:shd w:val="clear" w:color="auto" w:fill="FFFFFF" w:themeFill="background1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jest wytwórcą odpadów w myśl ustawy o odpadach z dnia 14 grudnia 2012 r. (Dz. U. z 2016 r. poz. 1987 z </w:t>
      </w:r>
      <w:proofErr w:type="spellStart"/>
      <w:r w:rsidRPr="002C7015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2C7015">
        <w:rPr>
          <w:rFonts w:ascii="Times New Roman" w:eastAsia="Times New Roman" w:hAnsi="Times New Roman" w:cs="Times New Roman"/>
          <w:sz w:val="24"/>
          <w:szCs w:val="24"/>
        </w:rPr>
        <w:t>. zm.). Do dokumentów odbiorowych Wykonawca złoży oświadczenie o zagospodarowaniu odpadów.</w:t>
      </w:r>
    </w:p>
    <w:p w:rsidR="002C7015" w:rsidRPr="002C7015" w:rsidRDefault="002C7015" w:rsidP="00EA3763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zawiadomić niezwłocznie Zamawiającego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 xml:space="preserve">o wszelkich zagrożeniach lub nowych okolicznościach ujawnionych w trakcie prowadzenia prac. </w:t>
      </w:r>
    </w:p>
    <w:p w:rsidR="002C7015" w:rsidRPr="002C7015" w:rsidRDefault="002C7015" w:rsidP="00D274FF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 przypadku uszkodzenia lub zniszczenia obiektów budowlanych w toku realizacji inwestycji Wykonawca zobowiązany jest do ich naprawienia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i doprowadzenia do stanu poprzedniego.</w:t>
      </w:r>
    </w:p>
    <w:p w:rsidR="007E5483" w:rsidRPr="00B11A04" w:rsidRDefault="002C7015" w:rsidP="00F0290C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 dniu odbioru robót budowlanych przedłożyć Zamawiającemu dokumentację powykonawczą wraz z uwierzytelnionymi mapami geodezyjnymi powykonawczymi oraz oświadczenie geodety o wykonaniu prac zgodnie z projektem zagospodarowania. Wykonawca zobowiązany jest dołączyć do dokumentacja powykonawcza oprócz mapy geodezyjnej powykonawczej zbiorczej mapy i szkice osobno dla każdej z branż. Ponadto dla branży elektroenergetycznej </w:t>
      </w:r>
      <w:r w:rsidRPr="002C70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przedłożyć osobne mapy i szkice dla oświetlenia ulicznego i usunięcia kolizji elektroenergetycznych. </w:t>
      </w:r>
    </w:p>
    <w:p w:rsidR="00267A05" w:rsidRDefault="00B11A04" w:rsidP="00267A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A04">
        <w:rPr>
          <w:rFonts w:ascii="Times New Roman" w:eastAsia="Times New Roman" w:hAnsi="Times New Roman" w:cs="Times New Roman"/>
          <w:sz w:val="24"/>
          <w:szCs w:val="24"/>
        </w:rPr>
        <w:t>Mając na uwadze, iż teren budowy będzie umiejscowiony na terenie zamkniętym MON Zamawiający zwraca uwagę na w</w:t>
      </w:r>
      <w:r w:rsidRPr="00B11A04">
        <w:rPr>
          <w:b/>
        </w:rPr>
        <w:t xml:space="preserve">ymagania dla wykonawcy robót w związku z realizacją inwestycji </w:t>
      </w:r>
      <w:r w:rsidR="00267A05" w:rsidRPr="0026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05" w:rsidRDefault="00267A05" w:rsidP="00267A0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>przed realizacją robót przesłać imienny wykaz osób, które będą realizować prace na terenie kompleksu wojskowego z danymi osobowymi celem weryfikacji. W przypadku jakichkolwiek zmian dokonywanych w wykazie poinformować Komendę Portu,</w:t>
      </w: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>przed przystąpieniem do prac, wszyscy pracownicy zobowiązani są do udziału w instruktażu, z zakresu informacji niejawnych i ochrony obiektu,</w:t>
      </w: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>każdorazowo ewidencjonować przybycie i opuszczenie terenu Portu Wojennego poprzez zgłoszenie do Biura Przepustek na Bramie wejściowej do PW,</w:t>
      </w: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>wszelkie wątpliwości i pytania zgłaszać do osoby wyznaczonej do kontaktów,</w:t>
      </w: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>pracownicy są zobowiązani do przebywania tylko w obszarze niezbędnym do wykonania zleconych prac,</w:t>
      </w:r>
    </w:p>
    <w:p w:rsidR="00267A05" w:rsidRPr="00267A05" w:rsidRDefault="00267A05" w:rsidP="00267A0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5">
        <w:rPr>
          <w:rFonts w:ascii="Times New Roman" w:hAnsi="Times New Roman" w:cs="Times New Roman"/>
          <w:b/>
          <w:sz w:val="24"/>
          <w:szCs w:val="24"/>
        </w:rPr>
        <w:t xml:space="preserve">wszelkie incydenty naruszające bezpieczeństwo i zasady przebywania </w:t>
      </w:r>
      <w:r w:rsidRPr="00267A05">
        <w:rPr>
          <w:rFonts w:ascii="Times New Roman" w:hAnsi="Times New Roman" w:cs="Times New Roman"/>
          <w:b/>
          <w:i/>
          <w:sz w:val="24"/>
          <w:szCs w:val="24"/>
        </w:rPr>
        <w:t xml:space="preserve">na terenach </w:t>
      </w:r>
      <w:r w:rsidRPr="00267A05">
        <w:rPr>
          <w:rFonts w:ascii="Times New Roman" w:hAnsi="Times New Roman" w:cs="Times New Roman"/>
          <w:b/>
          <w:sz w:val="24"/>
          <w:szCs w:val="24"/>
        </w:rPr>
        <w:t>chronionych zgłaszać do służb garnizonowych obiektu,</w:t>
      </w:r>
    </w:p>
    <w:p w:rsidR="006723CD" w:rsidRDefault="006723CD" w:rsidP="00672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CD" w:rsidRDefault="006723CD" w:rsidP="006723C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</w:rPr>
        <w:t>Przedmiot zamówienia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część II</w:t>
      </w:r>
      <w:r w:rsidRPr="00E70D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3CD">
        <w:rPr>
          <w:rFonts w:ascii="Times New Roman" w:eastAsia="Times New Roman" w:hAnsi="Times New Roman" w:cs="Times New Roman"/>
          <w:b/>
          <w:sz w:val="24"/>
          <w:szCs w:val="24"/>
        </w:rPr>
        <w:t>PARKING</w:t>
      </w:r>
    </w:p>
    <w:p w:rsidR="00267A05" w:rsidRDefault="00267A05" w:rsidP="00267A0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B0B" w:rsidRPr="00CE1227" w:rsidRDefault="004C4B0B" w:rsidP="004C4B0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7A05">
        <w:rPr>
          <w:rFonts w:ascii="Times New Roman" w:hAnsi="Times New Roman" w:cs="Times New Roman"/>
          <w:bCs/>
          <w:sz w:val="24"/>
          <w:szCs w:val="24"/>
        </w:rPr>
        <w:t xml:space="preserve">Wykonanie robót obejmujących </w:t>
      </w:r>
      <w:r w:rsidR="006723CD" w:rsidRPr="00267A05">
        <w:rPr>
          <w:rFonts w:ascii="Times New Roman" w:hAnsi="Times New Roman" w:cs="Times New Roman"/>
          <w:bCs/>
          <w:sz w:val="24"/>
          <w:szCs w:val="24"/>
        </w:rPr>
        <w:t>rozbudow</w:t>
      </w:r>
      <w:r w:rsidRPr="00267A05">
        <w:rPr>
          <w:rFonts w:ascii="Times New Roman" w:hAnsi="Times New Roman" w:cs="Times New Roman"/>
          <w:bCs/>
          <w:sz w:val="24"/>
          <w:szCs w:val="24"/>
        </w:rPr>
        <w:t>ę</w:t>
      </w:r>
      <w:r w:rsidR="006723CD" w:rsidRPr="00267A05">
        <w:rPr>
          <w:rFonts w:ascii="Times New Roman" w:hAnsi="Times New Roman" w:cs="Times New Roman"/>
          <w:bCs/>
          <w:sz w:val="24"/>
          <w:szCs w:val="24"/>
        </w:rPr>
        <w:t xml:space="preserve"> i przebudow</w:t>
      </w:r>
      <w:r w:rsidRPr="00267A05">
        <w:rPr>
          <w:rFonts w:ascii="Times New Roman" w:hAnsi="Times New Roman" w:cs="Times New Roman"/>
          <w:bCs/>
          <w:sz w:val="24"/>
          <w:szCs w:val="24"/>
        </w:rPr>
        <w:t>ę</w:t>
      </w:r>
      <w:r w:rsidR="006723CD" w:rsidRPr="00267A05">
        <w:rPr>
          <w:rFonts w:ascii="Times New Roman" w:hAnsi="Times New Roman" w:cs="Times New Roman"/>
          <w:bCs/>
          <w:sz w:val="24"/>
          <w:szCs w:val="24"/>
        </w:rPr>
        <w:t xml:space="preserve"> parkingu dla samochodów osobowych na terenie dz. 201/21 obr.</w:t>
      </w:r>
      <w:r w:rsidRPr="00267A05">
        <w:rPr>
          <w:rFonts w:ascii="Times New Roman" w:hAnsi="Times New Roman" w:cs="Times New Roman"/>
          <w:bCs/>
          <w:sz w:val="24"/>
          <w:szCs w:val="24"/>
        </w:rPr>
        <w:t xml:space="preserve">10 miasta </w:t>
      </w:r>
      <w:r w:rsidR="006723CD" w:rsidRPr="00267A05">
        <w:rPr>
          <w:rFonts w:ascii="Times New Roman" w:hAnsi="Times New Roman" w:cs="Times New Roman"/>
          <w:bCs/>
          <w:sz w:val="24"/>
          <w:szCs w:val="24"/>
        </w:rPr>
        <w:t>Świnoujście, stanowiącym teren zamknięty MON</w:t>
      </w:r>
      <w:r w:rsidR="00267A05" w:rsidRPr="00267A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A0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267A05">
        <w:rPr>
          <w:rFonts w:ascii="Times New Roman" w:eastAsia="Times New Roman" w:hAnsi="Times New Roman" w:cs="Times New Roman"/>
          <w:sz w:val="24"/>
          <w:szCs w:val="24"/>
        </w:rPr>
        <w:t xml:space="preserve">podstawie </w:t>
      </w:r>
      <w:r w:rsidRPr="00BC7400">
        <w:rPr>
          <w:rFonts w:ascii="Times New Roman" w:eastAsia="Times New Roman" w:hAnsi="Times New Roman" w:cs="Times New Roman"/>
          <w:sz w:val="24"/>
          <w:szCs w:val="24"/>
        </w:rPr>
        <w:t xml:space="preserve">dokumentacji projektowej opracowanej przez Pracownię Projektową Most sp. z o.o. z Poznania. </w:t>
      </w:r>
    </w:p>
    <w:p w:rsidR="00CE1227" w:rsidRPr="004C4B0B" w:rsidRDefault="00CE1227" w:rsidP="004C4B0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0E6D">
        <w:rPr>
          <w:rFonts w:ascii="Times New Roman" w:eastAsia="Times New Roman" w:hAnsi="Times New Roman" w:cs="Times New Roman"/>
          <w:sz w:val="24"/>
          <w:szCs w:val="24"/>
        </w:rPr>
        <w:t>Parking jest zlokalizowany w sąsiedztwie drogi dojazdowej na teren kompleksu wojskowego</w:t>
      </w:r>
    </w:p>
    <w:p w:rsidR="00140E6D" w:rsidRPr="00140E6D" w:rsidRDefault="00140E6D" w:rsidP="00140E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6D">
        <w:rPr>
          <w:rFonts w:ascii="Times New Roman" w:eastAsia="Times New Roman" w:hAnsi="Times New Roman" w:cs="Times New Roman"/>
          <w:sz w:val="24"/>
          <w:szCs w:val="24"/>
        </w:rPr>
        <w:t>W istniejącym stanie parking posiada ok 45 miejsc postojowych, niewyznaczonych oznakowaniem poziomym, w dwóch rzędach usytuowanych w układzie skośnym oraz  zdegradowaną nawierzchnię z płyt ażurowych.</w:t>
      </w:r>
    </w:p>
    <w:p w:rsidR="00140E6D" w:rsidRDefault="00140E6D" w:rsidP="00140E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6D">
        <w:rPr>
          <w:rFonts w:ascii="Times New Roman" w:eastAsia="Times New Roman" w:hAnsi="Times New Roman" w:cs="Times New Roman"/>
          <w:sz w:val="24"/>
          <w:szCs w:val="24"/>
        </w:rPr>
        <w:t>Pod powierzchnią  parkingu istnieją sieci elektroenergetyczne, wodociągowe, kanalizacji sanitarnej,</w:t>
      </w:r>
      <w:r w:rsidR="00627DA1">
        <w:rPr>
          <w:rFonts w:ascii="Times New Roman" w:eastAsia="Times New Roman" w:hAnsi="Times New Roman" w:cs="Times New Roman"/>
          <w:sz w:val="24"/>
          <w:szCs w:val="24"/>
        </w:rPr>
        <w:t xml:space="preserve"> telekomunikacyjne – w terenie zielonym po stronie ogrodzenia wierzch studni jest wyniesiony na ok 45 cm ponad powierzchnię parkingu. </w:t>
      </w:r>
    </w:p>
    <w:p w:rsidR="00140E6D" w:rsidRPr="00CE1227" w:rsidRDefault="00627DA1" w:rsidP="00DA6C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27">
        <w:rPr>
          <w:rFonts w:ascii="Times New Roman" w:eastAsia="Times New Roman" w:hAnsi="Times New Roman" w:cs="Times New Roman"/>
          <w:sz w:val="24"/>
          <w:szCs w:val="24"/>
        </w:rPr>
        <w:t xml:space="preserve">Parking nie posiada własnego oświetlenia, oświetlenie zapewniają latarnie zlokalizowane na </w:t>
      </w:r>
      <w:r w:rsidR="00CE1227" w:rsidRPr="00CE1227">
        <w:rPr>
          <w:rFonts w:ascii="Times New Roman" w:eastAsia="Times New Roman" w:hAnsi="Times New Roman" w:cs="Times New Roman"/>
          <w:sz w:val="24"/>
          <w:szCs w:val="24"/>
        </w:rPr>
        <w:t>chodniku wzdłu</w:t>
      </w:r>
      <w:r w:rsidR="00CE1227">
        <w:rPr>
          <w:rFonts w:ascii="Times New Roman" w:eastAsia="Times New Roman" w:hAnsi="Times New Roman" w:cs="Times New Roman"/>
          <w:sz w:val="24"/>
          <w:szCs w:val="24"/>
        </w:rPr>
        <w:t>ż</w:t>
      </w:r>
      <w:r w:rsidR="00CE1227" w:rsidRPr="00CE1227">
        <w:rPr>
          <w:rFonts w:ascii="Times New Roman" w:eastAsia="Times New Roman" w:hAnsi="Times New Roman" w:cs="Times New Roman"/>
          <w:sz w:val="24"/>
          <w:szCs w:val="24"/>
        </w:rPr>
        <w:t xml:space="preserve"> drogi dojazdowej do kompleksu.</w:t>
      </w:r>
    </w:p>
    <w:p w:rsidR="00140E6D" w:rsidRDefault="00627DA1" w:rsidP="00140E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 gruntowe opisane w opinii geotechnicznej</w:t>
      </w:r>
      <w:r w:rsidR="00CE1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664" w:rsidRPr="00120664" w:rsidRDefault="00120664" w:rsidP="0012066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jest w posiadaniu pozwolenia 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>na budowę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62E">
        <w:rPr>
          <w:rFonts w:ascii="Times New Roman" w:eastAsia="Times New Roman" w:hAnsi="Times New Roman" w:cs="Times New Roman"/>
          <w:sz w:val="24"/>
          <w:szCs w:val="24"/>
        </w:rPr>
        <w:t xml:space="preserve">13/O/2024 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>z dnia 1</w:t>
      </w:r>
      <w:r w:rsidR="0002162E">
        <w:rPr>
          <w:rFonts w:ascii="Times New Roman" w:eastAsia="Times New Roman" w:hAnsi="Times New Roman" w:cs="Times New Roman"/>
          <w:sz w:val="24"/>
          <w:szCs w:val="24"/>
        </w:rPr>
        <w:t>4 sierpnia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 xml:space="preserve"> 2024 r. stanowiącego załącznik nr </w:t>
      </w:r>
      <w:r w:rsidR="00021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0664">
        <w:rPr>
          <w:rFonts w:ascii="Times New Roman" w:eastAsia="Times New Roman" w:hAnsi="Times New Roman" w:cs="Times New Roman"/>
          <w:sz w:val="24"/>
          <w:szCs w:val="24"/>
        </w:rPr>
        <w:t xml:space="preserve"> do OPZ</w:t>
      </w:r>
    </w:p>
    <w:p w:rsidR="00120664" w:rsidRPr="00140E6D" w:rsidRDefault="00120664" w:rsidP="001206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CD" w:rsidRPr="00E70DB1" w:rsidRDefault="006723CD" w:rsidP="006723CD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</w:rPr>
        <w:t>Dodatkowe informacje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w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lastRenderedPageBreak/>
        <w:t>dokumentacji podane jedynie w celu jak najdokładniejszego określenia ich charakterystyki. Oznacza to, że Zamawiający dopuszcza zastosowanie rozwiązań równoważnych, nie odbiegających od zaproponowanych w zakresie: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gabarytów (wielkość, rodzaj oraz liczba elementów składowych)  z tolerancją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± 5%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 xml:space="preserve">w specyfikacji technicznej. 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parametrów bezpieczeństwa użytkowania – minimalnych określonych odrębnymi przepisami.</w:t>
      </w:r>
    </w:p>
    <w:p w:rsidR="006723CD" w:rsidRPr="0002162E" w:rsidRDefault="006723CD" w:rsidP="0002162E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2E">
        <w:rPr>
          <w:rFonts w:ascii="Times New Roman" w:eastAsia="Times New Roman" w:hAnsi="Times New Roman" w:cs="Times New Roman"/>
          <w:sz w:val="24"/>
          <w:szCs w:val="24"/>
        </w:rPr>
        <w:t xml:space="preserve">pod warunkiem, że do oferty wykonawcy załączono dokumenty z oznaczeniem producenta i typu oferowanego produktu określające parametry techniczne </w:t>
      </w:r>
      <w:r w:rsidRPr="0002162E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równoważności z określonymi w dokumentacji projektowej </w:t>
      </w:r>
    </w:p>
    <w:p w:rsidR="006723CD" w:rsidRPr="0002162E" w:rsidRDefault="006723CD" w:rsidP="0002162E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2E">
        <w:rPr>
          <w:rFonts w:ascii="Times New Roman" w:eastAsia="Times New Roman" w:hAnsi="Times New Roman" w:cs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:rsidR="006723CD" w:rsidRPr="0002162E" w:rsidRDefault="006723CD" w:rsidP="0002162E">
      <w:pPr>
        <w:pStyle w:val="Akapitzlist"/>
        <w:numPr>
          <w:ilvl w:val="0"/>
          <w:numId w:val="4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2E">
        <w:rPr>
          <w:rFonts w:ascii="Times New Roman" w:eastAsia="Times New Roman" w:hAnsi="Times New Roman" w:cs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:rsidR="006723CD" w:rsidRPr="002C7015" w:rsidRDefault="006723CD" w:rsidP="0002162E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Podane w przedmiarze robót ilości i asortyment należy traktować jako poglądowe, służące określeniu szacunkowego zaawansowania wykonywanych robót, a nie opisaniu ilości robót do wykonania.</w:t>
      </w:r>
    </w:p>
    <w:p w:rsidR="006723CD" w:rsidRPr="002C7015" w:rsidRDefault="006723CD" w:rsidP="0002162E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Wszystkie materiały podstawowe i pomocnicze niezbędne do wykonania zadania zapewnia Wykonawca. 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Wykonawca w cenie oferty zobowiązany jest także uwzględnić: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opłaty za organizacje ruchu,</w:t>
      </w:r>
    </w:p>
    <w:p w:rsidR="006723CD" w:rsidRPr="002C7015" w:rsidRDefault="006723CD" w:rsidP="0002162E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opłaty za odtworzenie nawierzchni.</w:t>
      </w:r>
    </w:p>
    <w:p w:rsidR="006723CD" w:rsidRPr="002C7015" w:rsidRDefault="006723CD" w:rsidP="0002162E">
      <w:pPr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odtworzyć nawierzchnie do stanu pierwotnego zgodnie z ustaleniami z właścicielem pasa drogowego. </w:t>
      </w:r>
    </w:p>
    <w:p w:rsidR="006723CD" w:rsidRPr="002C7015" w:rsidRDefault="006723CD" w:rsidP="0002162E">
      <w:pPr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Wykonawca zobowiązany jest zapewnić w trakcie prowadzenia robót pełne wygrodzenie placu budowy.</w:t>
      </w:r>
    </w:p>
    <w:p w:rsidR="006723CD" w:rsidRPr="002C7015" w:rsidRDefault="006723CD" w:rsidP="0002162E">
      <w:pPr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Zamawiający wymaga by minimalny okres gwarancji  i rękojmi wynosił 60 miesięcy.</w:t>
      </w:r>
    </w:p>
    <w:p w:rsidR="006723CD" w:rsidRDefault="006723CD" w:rsidP="0002162E">
      <w:pPr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>Wszystkie istniejące ogrodzenia zniszczone lub przeznaczone na czas wykonywania robót do rozbiórki, należy odbudować.</w:t>
      </w:r>
    </w:p>
    <w:p w:rsidR="00685A6F" w:rsidRPr="002C7015" w:rsidRDefault="00685A6F" w:rsidP="0002162E">
      <w:pPr>
        <w:numPr>
          <w:ilvl w:val="0"/>
          <w:numId w:val="37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oddania do zagospodarowania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lub/i unieszkodliwienia powstałych odpadów.</w:t>
      </w:r>
    </w:p>
    <w:p w:rsidR="00685A6F" w:rsidRPr="0002162E" w:rsidRDefault="00685A6F" w:rsidP="0002162E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2162E">
        <w:rPr>
          <w:rFonts w:ascii="Times New Roman" w:eastAsia="Times New Roman" w:hAnsi="Times New Roman" w:cs="Times New Roman"/>
          <w:sz w:val="24"/>
          <w:szCs w:val="24"/>
        </w:rPr>
        <w:t xml:space="preserve">Wykonawca jest wytwórcą odpadów w myśl ustawy o odpadach z dnia 14 grudnia 2012 r. (Dz. U. z 2016 r. poz. 1987 z </w:t>
      </w:r>
      <w:proofErr w:type="spellStart"/>
      <w:r w:rsidRPr="0002162E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02162E">
        <w:rPr>
          <w:rFonts w:ascii="Times New Roman" w:eastAsia="Times New Roman" w:hAnsi="Times New Roman" w:cs="Times New Roman"/>
          <w:sz w:val="24"/>
          <w:szCs w:val="24"/>
        </w:rPr>
        <w:t>. zm.). Do dokumentów odbiorowych Wykonawca złoży oświadczenie o zagospodarowaniu odpadów.</w:t>
      </w:r>
    </w:p>
    <w:bookmarkEnd w:id="0"/>
    <w:p w:rsidR="00685A6F" w:rsidRPr="002C7015" w:rsidRDefault="00685A6F" w:rsidP="00685A6F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zawiadomić niezwłocznie Zamawiającego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 xml:space="preserve">o wszelkich zagrożeniach lub nowych okolicznościach ujawnionych w trakcie prowadzenia prac. </w:t>
      </w:r>
    </w:p>
    <w:p w:rsidR="00685A6F" w:rsidRPr="002C7015" w:rsidRDefault="00685A6F" w:rsidP="00685A6F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uszkodzenia lub zniszczenia obiektów budowlanych w toku realizacji inwestycji Wykonawca zobowiązany jest do ich naprawienia </w:t>
      </w:r>
      <w:r w:rsidRPr="002C7015">
        <w:rPr>
          <w:rFonts w:ascii="Times New Roman" w:eastAsia="Times New Roman" w:hAnsi="Times New Roman" w:cs="Times New Roman"/>
          <w:sz w:val="24"/>
          <w:szCs w:val="24"/>
        </w:rPr>
        <w:br/>
        <w:t>i doprowadzenia do stanu poprzedniego.</w:t>
      </w:r>
    </w:p>
    <w:p w:rsidR="00685A6F" w:rsidRPr="0002162E" w:rsidRDefault="00685A6F" w:rsidP="006B5708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 dniu odbioru robót budowlanych przedłożyć Zamawiającemu dokumentację powykonawczą wraz z uwierzytelnionymi mapami geodezyjnymi powykonawczymi oraz oświadczenie geodety o wykonaniu prac zgodnie z projektem zagospodarowania. Wykonawca zobowiązany jest dołączyć do dokumentacji powykonawczej oprócz mapy geodezyjnej powykonawczej zbiorczej mapy i szkice osobno dla każdej z branż. Ponadto dla branży elektroenergetycznej należy przedłożyć osobne mapy i szkice dla oświetlenia ulicznego i usunięcia kolizji elektroenergetycznych. </w:t>
      </w:r>
    </w:p>
    <w:p w:rsidR="00B86C93" w:rsidRPr="0002162E" w:rsidRDefault="00B86C93" w:rsidP="00A542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2E">
        <w:rPr>
          <w:rFonts w:ascii="Times New Roman" w:eastAsia="Times New Roman" w:hAnsi="Times New Roman" w:cs="Times New Roman"/>
          <w:sz w:val="24"/>
          <w:szCs w:val="24"/>
        </w:rPr>
        <w:t>Mając na uwadze, iż teren budowy będzie umiejscowiony na terenie zamkniętym MON Zamawiający zwraca uwagę na w</w:t>
      </w:r>
      <w:r w:rsidRPr="0002162E">
        <w:rPr>
          <w:b/>
        </w:rPr>
        <w:t xml:space="preserve">ymagania dla wykonawcy robót w związku z realizacją inwestycji </w:t>
      </w:r>
      <w:r w:rsidRPr="0002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>przed realizacją robót przesłać imienny wykaz osób, które będą realizować prace na terenie kompleksu wojskowego z danymi osobowymi celem weryfikacji. W przypadku jakichkolwiek zmian dokonywanych w wykazie poinformować Komendę Portu,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>przed przystąpieniem do prac, wszyscy pracownicy zobowiązani są do udziału w instruktażu, z zakresu informacji niejawnych i ochrony obiektu,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>każdorazowo ewidencjonować przybycie i opuszczenie terenu Portu Wojennego poprzez zgłoszenie do Biura Przepustek na Bramie wejściowej do PW,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>wszelkie wątpliwości i pytania zgłaszać do osoby wyznaczonej do kontaktów,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>pracownicy są zobowiązani do przebywania tylko w obszarze niezbędnym do wykonania zleconych prac,</w:t>
      </w:r>
    </w:p>
    <w:p w:rsidR="00B86C93" w:rsidRPr="003F6086" w:rsidRDefault="00B86C93" w:rsidP="00B86C9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086">
        <w:rPr>
          <w:rFonts w:ascii="Times New Roman" w:hAnsi="Times New Roman" w:cs="Times New Roman"/>
          <w:sz w:val="24"/>
          <w:szCs w:val="24"/>
        </w:rPr>
        <w:t xml:space="preserve">wszelkie incydenty naruszające bezpieczeństwo i zasady przebywania </w:t>
      </w:r>
      <w:r w:rsidRPr="003F6086">
        <w:rPr>
          <w:rFonts w:ascii="Times New Roman" w:hAnsi="Times New Roman" w:cs="Times New Roman"/>
          <w:i/>
          <w:sz w:val="24"/>
          <w:szCs w:val="24"/>
        </w:rPr>
        <w:t xml:space="preserve">na terenach </w:t>
      </w:r>
      <w:r w:rsidRPr="003F6086">
        <w:rPr>
          <w:rFonts w:ascii="Times New Roman" w:hAnsi="Times New Roman" w:cs="Times New Roman"/>
          <w:sz w:val="24"/>
          <w:szCs w:val="24"/>
        </w:rPr>
        <w:t>chronionych zgłaszać do służb garnizonowych obiektu,</w:t>
      </w:r>
    </w:p>
    <w:p w:rsidR="00B86C93" w:rsidRPr="003F6086" w:rsidRDefault="00B86C93" w:rsidP="006723CD">
      <w:pPr>
        <w:shd w:val="clear" w:color="auto" w:fill="FFFFFF" w:themeFill="background1"/>
        <w:spacing w:after="0" w:line="276" w:lineRule="auto"/>
        <w:ind w:left="1068"/>
        <w:jc w:val="both"/>
        <w:outlineLvl w:val="0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</w:rPr>
      </w:pPr>
    </w:p>
    <w:sectPr w:rsidR="00B86C93" w:rsidRPr="003F6086" w:rsidSect="00A269D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680" w:right="1134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6A" w:rsidRDefault="00087A6A">
      <w:pPr>
        <w:spacing w:after="0" w:line="240" w:lineRule="auto"/>
      </w:pPr>
      <w:r>
        <w:separator/>
      </w:r>
    </w:p>
  </w:endnote>
  <w:endnote w:type="continuationSeparator" w:id="0">
    <w:p w:rsidR="00087A6A" w:rsidRDefault="000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9F" w:rsidRDefault="000B53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B9F" w:rsidRDefault="00087A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9F" w:rsidRDefault="000B530A">
    <w:pPr>
      <w:pStyle w:val="Stopka"/>
      <w:framePr w:wrap="around" w:vAnchor="text" w:hAnchor="page" w:x="10058" w:y="160"/>
      <w:rPr>
        <w:rStyle w:val="Numerstrony"/>
        <w:rFonts w:ascii="Times New Roman" w:hAnsi="Times New Roman"/>
        <w:sz w:val="24"/>
        <w:szCs w:val="24"/>
      </w:rPr>
    </w:pPr>
    <w:r>
      <w:rPr>
        <w:rStyle w:val="Numerstrony"/>
        <w:rFonts w:ascii="Times New Roman" w:hAnsi="Times New Roman"/>
        <w:sz w:val="24"/>
        <w:szCs w:val="24"/>
      </w:rPr>
      <w:fldChar w:fldCharType="begin"/>
    </w:r>
    <w:r>
      <w:rPr>
        <w:rStyle w:val="Numerstrony"/>
        <w:rFonts w:ascii="Times New Roman" w:hAnsi="Times New Roman"/>
        <w:sz w:val="24"/>
        <w:szCs w:val="24"/>
      </w:rPr>
      <w:instrText xml:space="preserve">PAGE  </w:instrText>
    </w:r>
    <w:r>
      <w:rPr>
        <w:rStyle w:val="Numerstrony"/>
        <w:rFonts w:ascii="Times New Roman" w:hAnsi="Times New Roman"/>
        <w:sz w:val="24"/>
        <w:szCs w:val="24"/>
      </w:rPr>
      <w:fldChar w:fldCharType="separate"/>
    </w:r>
    <w:r w:rsidR="0002162E">
      <w:rPr>
        <w:rStyle w:val="Numerstrony"/>
        <w:rFonts w:ascii="Times New Roman" w:hAnsi="Times New Roman"/>
        <w:noProof/>
        <w:sz w:val="24"/>
        <w:szCs w:val="24"/>
      </w:rPr>
      <w:t>4</w:t>
    </w:r>
    <w:r>
      <w:rPr>
        <w:rStyle w:val="Numerstrony"/>
        <w:rFonts w:ascii="Times New Roman" w:hAnsi="Times New Roman"/>
        <w:sz w:val="24"/>
        <w:szCs w:val="24"/>
      </w:rPr>
      <w:fldChar w:fldCharType="end"/>
    </w:r>
  </w:p>
  <w:p w:rsidR="004F6B9F" w:rsidRDefault="00087A6A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6A" w:rsidRDefault="00087A6A">
      <w:pPr>
        <w:spacing w:after="0" w:line="240" w:lineRule="auto"/>
      </w:pPr>
      <w:r>
        <w:separator/>
      </w:r>
    </w:p>
  </w:footnote>
  <w:footnote w:type="continuationSeparator" w:id="0">
    <w:p w:rsidR="00087A6A" w:rsidRDefault="000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A7" w:rsidRDefault="00087A6A" w:rsidP="00301711">
    <w:pPr>
      <w:pStyle w:val="Nagwek"/>
      <w:ind w:left="1128"/>
      <w:jc w:val="right"/>
      <w:rPr>
        <w:rFonts w:ascii="Times New Roman" w:hAnsi="Times New Roman"/>
      </w:rPr>
    </w:pPr>
  </w:p>
  <w:p w:rsidR="000145A7" w:rsidRDefault="00087A6A" w:rsidP="00301711">
    <w:pPr>
      <w:pStyle w:val="Nagwek"/>
      <w:ind w:left="1128"/>
      <w:jc w:val="right"/>
      <w:rPr>
        <w:rFonts w:ascii="Times New Roman" w:hAnsi="Times New Roman"/>
      </w:rPr>
    </w:pPr>
  </w:p>
  <w:p w:rsidR="000145A7" w:rsidRDefault="00087A6A" w:rsidP="00301711">
    <w:pPr>
      <w:pStyle w:val="Nagwek"/>
      <w:ind w:left="1128"/>
      <w:jc w:val="right"/>
      <w:rPr>
        <w:rFonts w:ascii="Times New Roman" w:hAnsi="Times New Roman"/>
      </w:rPr>
    </w:pPr>
  </w:p>
  <w:p w:rsidR="004F6B9F" w:rsidRPr="00A269D0" w:rsidRDefault="000B530A" w:rsidP="00A269D0">
    <w:pPr>
      <w:pStyle w:val="Nagwek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D0" w:rsidRPr="00BD11BF" w:rsidRDefault="000B530A" w:rsidP="00A269D0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Pr="00BD11BF">
      <w:rPr>
        <w:rFonts w:ascii="Times New Roman" w:hAnsi="Times New Roman"/>
        <w:sz w:val="24"/>
        <w:szCs w:val="24"/>
      </w:rPr>
      <w:tab/>
      <w:t>SWZ nr BZP.271.1.</w:t>
    </w:r>
    <w:r w:rsidR="003306EF"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>5</w:t>
    </w:r>
    <w:r w:rsidRPr="00BD11BF">
      <w:rPr>
        <w:rFonts w:ascii="Times New Roman" w:hAnsi="Times New Roman"/>
        <w:sz w:val="24"/>
        <w:szCs w:val="24"/>
      </w:rPr>
      <w:t>.2024</w:t>
    </w:r>
  </w:p>
  <w:p w:rsidR="00A269D0" w:rsidRPr="00BD11BF" w:rsidRDefault="000B530A" w:rsidP="00A269D0">
    <w:pPr>
      <w:jc w:val="right"/>
      <w:rPr>
        <w:rFonts w:ascii="Times New Roman" w:hAnsi="Times New Roman"/>
        <w:bCs/>
        <w:sz w:val="24"/>
        <w:szCs w:val="24"/>
      </w:rPr>
    </w:pPr>
    <w:r w:rsidRPr="00BD11BF">
      <w:rPr>
        <w:rFonts w:ascii="Times New Roman" w:hAnsi="Times New Roman"/>
        <w:bCs/>
        <w:sz w:val="24"/>
        <w:szCs w:val="24"/>
      </w:rPr>
      <w:t>Załącznik nr 1 do umowy WIM/….</w:t>
    </w:r>
    <w:r>
      <w:rPr>
        <w:rFonts w:ascii="Times New Roman" w:hAnsi="Times New Roman"/>
        <w:bCs/>
        <w:sz w:val="24"/>
        <w:szCs w:val="24"/>
      </w:rPr>
      <w:t>/2024</w:t>
    </w:r>
  </w:p>
  <w:p w:rsidR="00A269D0" w:rsidRDefault="00087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27B"/>
    <w:multiLevelType w:val="hybridMultilevel"/>
    <w:tmpl w:val="1428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432C"/>
    <w:multiLevelType w:val="hybridMultilevel"/>
    <w:tmpl w:val="6360CD38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43E79"/>
    <w:multiLevelType w:val="hybridMultilevel"/>
    <w:tmpl w:val="AD66A20A"/>
    <w:lvl w:ilvl="0" w:tplc="86968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292F"/>
    <w:multiLevelType w:val="hybridMultilevel"/>
    <w:tmpl w:val="4C329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67036"/>
    <w:multiLevelType w:val="hybridMultilevel"/>
    <w:tmpl w:val="361422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2D72"/>
    <w:multiLevelType w:val="hybridMultilevel"/>
    <w:tmpl w:val="8228C3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966D9"/>
    <w:multiLevelType w:val="hybridMultilevel"/>
    <w:tmpl w:val="7756C11E"/>
    <w:lvl w:ilvl="0" w:tplc="2AAA248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19CA"/>
    <w:multiLevelType w:val="hybridMultilevel"/>
    <w:tmpl w:val="3B9885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3B3D"/>
    <w:multiLevelType w:val="hybridMultilevel"/>
    <w:tmpl w:val="FA04132C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3128D76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FC3C49"/>
    <w:multiLevelType w:val="hybridMultilevel"/>
    <w:tmpl w:val="E5DE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0A83"/>
    <w:multiLevelType w:val="hybridMultilevel"/>
    <w:tmpl w:val="B75E41D2"/>
    <w:lvl w:ilvl="0" w:tplc="CF22E5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E6CA6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E7EA9"/>
    <w:multiLevelType w:val="hybridMultilevel"/>
    <w:tmpl w:val="BD1C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40CF"/>
    <w:multiLevelType w:val="hybridMultilevel"/>
    <w:tmpl w:val="0F50CD74"/>
    <w:lvl w:ilvl="0" w:tplc="5254CFA2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D17BA6"/>
    <w:multiLevelType w:val="hybridMultilevel"/>
    <w:tmpl w:val="D5AA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E5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5" w15:restartNumberingAfterBreak="0">
    <w:nsid w:val="26BC3598"/>
    <w:multiLevelType w:val="hybridMultilevel"/>
    <w:tmpl w:val="68D8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5832"/>
    <w:multiLevelType w:val="hybridMultilevel"/>
    <w:tmpl w:val="881E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968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6C8"/>
    <w:multiLevelType w:val="hybridMultilevel"/>
    <w:tmpl w:val="8D96547A"/>
    <w:lvl w:ilvl="0" w:tplc="767E53C8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D32222F"/>
    <w:multiLevelType w:val="hybridMultilevel"/>
    <w:tmpl w:val="1758CA56"/>
    <w:lvl w:ilvl="0" w:tplc="86968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576E"/>
    <w:multiLevelType w:val="hybridMultilevel"/>
    <w:tmpl w:val="60AC2B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1205024"/>
    <w:multiLevelType w:val="hybridMultilevel"/>
    <w:tmpl w:val="C0E6AD7A"/>
    <w:lvl w:ilvl="0" w:tplc="2984059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E20216D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D45AA"/>
    <w:multiLevelType w:val="hybridMultilevel"/>
    <w:tmpl w:val="B1BE6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1148"/>
    <w:multiLevelType w:val="hybridMultilevel"/>
    <w:tmpl w:val="33165E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A5550"/>
    <w:multiLevelType w:val="hybridMultilevel"/>
    <w:tmpl w:val="4144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5169"/>
    <w:multiLevelType w:val="hybridMultilevel"/>
    <w:tmpl w:val="FD4E3A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115F6"/>
    <w:multiLevelType w:val="hybridMultilevel"/>
    <w:tmpl w:val="3CB68DDE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A6C81"/>
    <w:multiLevelType w:val="hybridMultilevel"/>
    <w:tmpl w:val="C434A872"/>
    <w:lvl w:ilvl="0" w:tplc="86968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E70AE"/>
    <w:multiLevelType w:val="hybridMultilevel"/>
    <w:tmpl w:val="060C4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29F4"/>
    <w:multiLevelType w:val="hybridMultilevel"/>
    <w:tmpl w:val="8458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0616"/>
    <w:multiLevelType w:val="hybridMultilevel"/>
    <w:tmpl w:val="69041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04D6D"/>
    <w:multiLevelType w:val="hybridMultilevel"/>
    <w:tmpl w:val="23D4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7AE7"/>
    <w:multiLevelType w:val="hybridMultilevel"/>
    <w:tmpl w:val="7F44F7B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E2398"/>
    <w:multiLevelType w:val="hybridMultilevel"/>
    <w:tmpl w:val="31921A32"/>
    <w:lvl w:ilvl="0" w:tplc="582862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762D"/>
    <w:multiLevelType w:val="hybridMultilevel"/>
    <w:tmpl w:val="C638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4943"/>
    <w:multiLevelType w:val="hybridMultilevel"/>
    <w:tmpl w:val="E0D4DABA"/>
    <w:lvl w:ilvl="0" w:tplc="D44C295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7CE291B"/>
    <w:multiLevelType w:val="hybridMultilevel"/>
    <w:tmpl w:val="620618C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E020EF1"/>
    <w:multiLevelType w:val="hybridMultilevel"/>
    <w:tmpl w:val="CE7AD148"/>
    <w:lvl w:ilvl="0" w:tplc="86968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073714"/>
    <w:multiLevelType w:val="hybridMultilevel"/>
    <w:tmpl w:val="CC3C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73D0"/>
    <w:multiLevelType w:val="hybridMultilevel"/>
    <w:tmpl w:val="CBC84B78"/>
    <w:lvl w:ilvl="0" w:tplc="36C69D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6078B"/>
    <w:multiLevelType w:val="hybridMultilevel"/>
    <w:tmpl w:val="11F8C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F6C60"/>
    <w:multiLevelType w:val="hybridMultilevel"/>
    <w:tmpl w:val="7528F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8"/>
  </w:num>
  <w:num w:numId="5">
    <w:abstractNumId w:val="19"/>
  </w:num>
  <w:num w:numId="6">
    <w:abstractNumId w:val="25"/>
  </w:num>
  <w:num w:numId="7">
    <w:abstractNumId w:val="3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9"/>
  </w:num>
  <w:num w:numId="14">
    <w:abstractNumId w:val="21"/>
  </w:num>
  <w:num w:numId="15">
    <w:abstractNumId w:val="30"/>
  </w:num>
  <w:num w:numId="16">
    <w:abstractNumId w:val="13"/>
  </w:num>
  <w:num w:numId="17">
    <w:abstractNumId w:val="29"/>
  </w:num>
  <w:num w:numId="18">
    <w:abstractNumId w:val="4"/>
  </w:num>
  <w:num w:numId="19">
    <w:abstractNumId w:val="3"/>
  </w:num>
  <w:num w:numId="20">
    <w:abstractNumId w:val="37"/>
  </w:num>
  <w:num w:numId="21">
    <w:abstractNumId w:val="0"/>
  </w:num>
  <w:num w:numId="22">
    <w:abstractNumId w:val="40"/>
  </w:num>
  <w:num w:numId="23">
    <w:abstractNumId w:val="35"/>
  </w:num>
  <w:num w:numId="24">
    <w:abstractNumId w:val="23"/>
  </w:num>
  <w:num w:numId="25">
    <w:abstractNumId w:val="28"/>
  </w:num>
  <w:num w:numId="26">
    <w:abstractNumId w:val="6"/>
  </w:num>
  <w:num w:numId="27">
    <w:abstractNumId w:val="9"/>
  </w:num>
  <w:num w:numId="28">
    <w:abstractNumId w:val="7"/>
  </w:num>
  <w:num w:numId="29">
    <w:abstractNumId w:val="27"/>
  </w:num>
  <w:num w:numId="30">
    <w:abstractNumId w:val="11"/>
  </w:num>
  <w:num w:numId="31">
    <w:abstractNumId w:val="33"/>
  </w:num>
  <w:num w:numId="32">
    <w:abstractNumId w:val="32"/>
  </w:num>
  <w:num w:numId="3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6"/>
  </w:num>
  <w:num w:numId="36">
    <w:abstractNumId w:val="24"/>
  </w:num>
  <w:num w:numId="37">
    <w:abstractNumId w:val="15"/>
  </w:num>
  <w:num w:numId="38">
    <w:abstractNumId w:val="1"/>
  </w:num>
  <w:num w:numId="39">
    <w:abstractNumId w:val="16"/>
  </w:num>
  <w:num w:numId="40">
    <w:abstractNumId w:val="18"/>
  </w:num>
  <w:num w:numId="41">
    <w:abstractNumId w:val="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6"/>
    <w:rsid w:val="0002162E"/>
    <w:rsid w:val="00087A6A"/>
    <w:rsid w:val="00090973"/>
    <w:rsid w:val="0009460B"/>
    <w:rsid w:val="000B530A"/>
    <w:rsid w:val="000B6429"/>
    <w:rsid w:val="000F4053"/>
    <w:rsid w:val="00120664"/>
    <w:rsid w:val="00122274"/>
    <w:rsid w:val="00140E6D"/>
    <w:rsid w:val="001D14D6"/>
    <w:rsid w:val="00257AEB"/>
    <w:rsid w:val="00267A05"/>
    <w:rsid w:val="002828A7"/>
    <w:rsid w:val="002C7015"/>
    <w:rsid w:val="003306EF"/>
    <w:rsid w:val="00333036"/>
    <w:rsid w:val="0034195A"/>
    <w:rsid w:val="00384AC2"/>
    <w:rsid w:val="003B7873"/>
    <w:rsid w:val="003D3EDC"/>
    <w:rsid w:val="003E01A2"/>
    <w:rsid w:val="003F6086"/>
    <w:rsid w:val="00411D6C"/>
    <w:rsid w:val="00416C17"/>
    <w:rsid w:val="004251AB"/>
    <w:rsid w:val="004432E3"/>
    <w:rsid w:val="0047137F"/>
    <w:rsid w:val="004C4B0B"/>
    <w:rsid w:val="00533E06"/>
    <w:rsid w:val="00627DA1"/>
    <w:rsid w:val="00641DF2"/>
    <w:rsid w:val="006723CD"/>
    <w:rsid w:val="00685A6F"/>
    <w:rsid w:val="00711327"/>
    <w:rsid w:val="00731532"/>
    <w:rsid w:val="007353AF"/>
    <w:rsid w:val="007B1945"/>
    <w:rsid w:val="007D555B"/>
    <w:rsid w:val="007E5483"/>
    <w:rsid w:val="007F794D"/>
    <w:rsid w:val="00805EF3"/>
    <w:rsid w:val="0081001A"/>
    <w:rsid w:val="00840CC0"/>
    <w:rsid w:val="008550E4"/>
    <w:rsid w:val="0089309C"/>
    <w:rsid w:val="008B2FFF"/>
    <w:rsid w:val="008F229E"/>
    <w:rsid w:val="0090312E"/>
    <w:rsid w:val="009B4D26"/>
    <w:rsid w:val="00A01061"/>
    <w:rsid w:val="00A1661B"/>
    <w:rsid w:val="00A2380F"/>
    <w:rsid w:val="00A26567"/>
    <w:rsid w:val="00AA50A4"/>
    <w:rsid w:val="00AC5A72"/>
    <w:rsid w:val="00B11A04"/>
    <w:rsid w:val="00B33BD8"/>
    <w:rsid w:val="00B51121"/>
    <w:rsid w:val="00B86C93"/>
    <w:rsid w:val="00BA06E9"/>
    <w:rsid w:val="00BA68C8"/>
    <w:rsid w:val="00BC720D"/>
    <w:rsid w:val="00BC7400"/>
    <w:rsid w:val="00BF1BCB"/>
    <w:rsid w:val="00C07268"/>
    <w:rsid w:val="00C25674"/>
    <w:rsid w:val="00C301BC"/>
    <w:rsid w:val="00C65BF0"/>
    <w:rsid w:val="00C72AC0"/>
    <w:rsid w:val="00CB3654"/>
    <w:rsid w:val="00CB46A3"/>
    <w:rsid w:val="00CE1227"/>
    <w:rsid w:val="00D274FF"/>
    <w:rsid w:val="00DD328E"/>
    <w:rsid w:val="00E358FA"/>
    <w:rsid w:val="00E70DB1"/>
    <w:rsid w:val="00E71717"/>
    <w:rsid w:val="00EA3763"/>
    <w:rsid w:val="00EC065A"/>
    <w:rsid w:val="00F0290C"/>
    <w:rsid w:val="00F16606"/>
    <w:rsid w:val="00F1769E"/>
    <w:rsid w:val="00F4644D"/>
    <w:rsid w:val="00FC353D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33EF"/>
  <w15:chartTrackingRefBased/>
  <w15:docId w15:val="{CD7FF007-974C-41FC-B2D2-ED9795A6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606"/>
  </w:style>
  <w:style w:type="paragraph" w:styleId="Stopka">
    <w:name w:val="footer"/>
    <w:basedOn w:val="Normalny"/>
    <w:link w:val="StopkaZnak"/>
    <w:uiPriority w:val="99"/>
    <w:unhideWhenUsed/>
    <w:rsid w:val="00F1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606"/>
  </w:style>
  <w:style w:type="character" w:styleId="Numerstrony">
    <w:name w:val="page number"/>
    <w:basedOn w:val="Domylnaczcionkaakapitu"/>
    <w:semiHidden/>
    <w:rsid w:val="00F16606"/>
  </w:style>
  <w:style w:type="paragraph" w:styleId="Akapitzlist">
    <w:name w:val="List Paragraph"/>
    <w:aliases w:val="Podsis rysunku,Akapit z listą numerowaną,CW_Lista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533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8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Akapit z listą numerowaną Znak,CW_Lista Znak,normalny tekst Znak,Preambuła Znak,L1 Znak,Numerowanie Znak,2 heading Znak,A_wyliczenie Znak,K-P_odwolanie Znak,Akapit z listą5 Znak,maz_wyliczenie Znak,Normal Znak"/>
    <w:link w:val="Akapitzlist"/>
    <w:uiPriority w:val="34"/>
    <w:rsid w:val="00B1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Ingielewicz Grażyna</dc:creator>
  <cp:keywords/>
  <dc:description/>
  <cp:lastModifiedBy>Ingielewicz Grażyna</cp:lastModifiedBy>
  <cp:revision>37</cp:revision>
  <cp:lastPrinted>2024-10-14T07:24:00Z</cp:lastPrinted>
  <dcterms:created xsi:type="dcterms:W3CDTF">2024-09-20T07:00:00Z</dcterms:created>
  <dcterms:modified xsi:type="dcterms:W3CDTF">2024-12-11T11:48:00Z</dcterms:modified>
</cp:coreProperties>
</file>