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B1E73" w:rsidRPr="007B1E73" w14:paraId="69145C1F" w14:textId="77777777" w:rsidTr="002B5E29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1C0B94" w14:textId="77777777" w:rsidR="007B1E73" w:rsidRPr="007B1E73" w:rsidRDefault="007B1E73" w:rsidP="007B1E73">
            <w:pPr>
              <w:suppressAutoHyphens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kern w:val="3"/>
                <w:sz w:val="24"/>
                <w:szCs w:val="24"/>
                <w:lang w:eastAsia="zh-CN"/>
                <w14:ligatures w14:val="none"/>
              </w:rPr>
            </w:pPr>
            <w:bookmarkStart w:id="0" w:name="_Hlk6143199"/>
            <w:r w:rsidRPr="007B1E73">
              <w:rPr>
                <w:rFonts w:ascii="Times New Roman" w:eastAsia="Times New Roman" w:hAnsi="Times New Roman" w:cs="Times New Roman"/>
                <w:b/>
                <w:noProof w:val="0"/>
                <w:kern w:val="3"/>
                <w:sz w:val="24"/>
                <w:szCs w:val="24"/>
                <w:lang w:eastAsia="zh-CN"/>
                <w14:ligatures w14:val="none"/>
              </w:rPr>
              <w:t>OPIS PRZEDMIOTU ZAMÓWIENIA</w:t>
            </w:r>
          </w:p>
          <w:p w14:paraId="6DF4F2D2" w14:textId="77777777" w:rsidR="007B1E73" w:rsidRPr="007B1E73" w:rsidRDefault="007B1E73" w:rsidP="007B1E73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 w:cs="Times New Roman"/>
                <w:b/>
                <w:noProof w:val="0"/>
                <w:kern w:val="3"/>
                <w:sz w:val="20"/>
                <w:szCs w:val="20"/>
                <w:lang w:eastAsia="zh-CN"/>
                <w14:ligatures w14:val="none"/>
              </w:rPr>
            </w:pPr>
            <w:r w:rsidRPr="007B1E73">
              <w:rPr>
                <w:rFonts w:ascii="Times New Roman" w:eastAsia="MS Mincho" w:hAnsi="Times New Roman" w:cs="Times New Roman"/>
                <w:i/>
                <w:noProof w:val="0"/>
                <w:kern w:val="0"/>
                <w:sz w:val="24"/>
                <w:szCs w:val="24"/>
                <w:lang w:eastAsia="ja-JP"/>
                <w14:ligatures w14:val="none"/>
              </w:rPr>
              <w:t>Zakup i montaż angiografu wraz z robotami modernizacyjnymi dla potrzeb Pracowni Hemodynamiki w WCSKJ</w:t>
            </w:r>
          </w:p>
        </w:tc>
      </w:tr>
    </w:tbl>
    <w:p w14:paraId="4D1EF896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38337ED7" w14:textId="77777777" w:rsidR="007B1E73" w:rsidRPr="007B1E73" w:rsidRDefault="007B1E73" w:rsidP="007B1E73">
      <w:pPr>
        <w:tabs>
          <w:tab w:val="left" w:pos="2375"/>
        </w:tabs>
        <w:spacing w:after="0" w:line="288" w:lineRule="auto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Uwagi i objaśnienia:</w:t>
      </w:r>
    </w:p>
    <w:p w14:paraId="2A95CA9C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Parametry określone jako „tak” są parametrami granicznymi. Udzielenie odpowiedzi „</w:t>
      </w:r>
      <w:proofErr w:type="gramStart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nie”  lub</w:t>
      </w:r>
      <w:proofErr w:type="gramEnd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 xml:space="preserve"> innej </w:t>
      </w:r>
      <w:proofErr w:type="gramStart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nie stanowiącej</w:t>
      </w:r>
      <w:proofErr w:type="gramEnd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 xml:space="preserve"> jednoznacznego potwierdzenia spełniania warunku będzie skutkowało odrzuceniem oferty.</w:t>
      </w:r>
    </w:p>
    <w:p w14:paraId="4F8A879B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 xml:space="preserve">Parametry o określonych warunkach liczbowych </w:t>
      </w:r>
      <w:proofErr w:type="gramStart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( „</w:t>
      </w:r>
      <w:proofErr w:type="gramEnd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=</w:t>
      </w:r>
      <w:proofErr w:type="gramStart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&gt;”  lub</w:t>
      </w:r>
      <w:proofErr w:type="gramEnd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 xml:space="preserve"> „&lt;=”, „min.” lub „max.”) są warunkami granicznymi, których niespełnienie spowoduje odrzucenie oferty.</w:t>
      </w:r>
    </w:p>
    <w:p w14:paraId="10812359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W przypadku punktacji proporcjonalnej ocena jest przeprowadzana w sposób następujący: oferta zawierająca najkorzystniejszą wartość otrzymuje maksymalną liczbę punktów, oferta zawierająca wartość wymaganą nie otrzymuje punktów, a wszystkie pozostałe proporcjonalnie mniej w stosunku do najkorzystniejszej wartości.</w:t>
      </w:r>
    </w:p>
    <w:p w14:paraId="4535BF3C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Wartość podana przy w/w oznaczeniach oznacza wartość wymaganą.</w:t>
      </w:r>
    </w:p>
    <w:p w14:paraId="39F63996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W kolumnie „Lokalizacja w materiałach firmowych potwierdzenia parametru [str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360C12B3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Wykonawca zobowiązany jest do podania parametrów w jednostkach wskazanych                  w niniejszym opisie.</w:t>
      </w:r>
    </w:p>
    <w:p w14:paraId="08362364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 xml:space="preserve">Wykonawca gwarantuje niniejszym, że sprzęt jest fabrycznie nowy (rok produkcji nie wcześniej niż </w:t>
      </w:r>
      <w:r w:rsidRPr="007B1E73"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2025</w:t>
      </w: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1FF855F3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Brak potwierdzenia w materiałach firmowych zakresu większego niż wymagany, pomimo jego wskazania w kolumnie „Parametr oferowany”, spowoduje nieprzyznanie punktów za ten parametr.</w:t>
      </w:r>
    </w:p>
    <w:p w14:paraId="1505FB9C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W zakresie parametrów technicznych i eksploatacyjnch innych niż dotyczących Angiografu Zamawiający wymaga zaoferowania przedmiotu zamówienia zgodnie z niniejszym załącznikiem oraz kosztorysem stanowiącym zał nr 1a do SWZ</w:t>
      </w:r>
    </w:p>
    <w:p w14:paraId="21924938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</w:p>
    <w:p w14:paraId="040FB001" w14:textId="77777777" w:rsidR="007B1E73" w:rsidRPr="007B1E73" w:rsidRDefault="007B1E73" w:rsidP="007B1E73">
      <w:pPr>
        <w:tabs>
          <w:tab w:val="left" w:pos="8985"/>
        </w:tabs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0"/>
          <w:szCs w:val="20"/>
          <w:lang w:eastAsia="ja-JP"/>
          <w14:ligatures w14:val="none"/>
        </w:rPr>
      </w:pPr>
    </w:p>
    <w:p w14:paraId="68DFD4DA" w14:textId="77777777" w:rsidR="007B1E73" w:rsidRPr="007B1E73" w:rsidRDefault="007B1E73" w:rsidP="007B1E73">
      <w:pPr>
        <w:tabs>
          <w:tab w:val="left" w:pos="8985"/>
        </w:tabs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0"/>
          <w:szCs w:val="20"/>
          <w:lang w:eastAsia="ja-JP"/>
          <w14:ligatures w14:val="none"/>
        </w:rPr>
      </w:pPr>
    </w:p>
    <w:p w14:paraId="6DF59BC4" w14:textId="77777777" w:rsidR="007B1E73" w:rsidRPr="007B1E73" w:rsidRDefault="007B1E73" w:rsidP="007B1E73">
      <w:pPr>
        <w:tabs>
          <w:tab w:val="left" w:pos="8985"/>
        </w:tabs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0"/>
          <w:szCs w:val="20"/>
          <w:lang w:eastAsia="ja-JP"/>
          <w14:ligatures w14:val="none"/>
        </w:rPr>
      </w:pPr>
    </w:p>
    <w:p w14:paraId="02658F9D" w14:textId="77777777" w:rsidR="007B1E73" w:rsidRPr="007B1E73" w:rsidRDefault="007B1E73" w:rsidP="007B1E73">
      <w:pPr>
        <w:tabs>
          <w:tab w:val="left" w:pos="8985"/>
        </w:tabs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0"/>
          <w:szCs w:val="20"/>
          <w:lang w:eastAsia="ja-JP"/>
          <w14:ligatures w14:val="none"/>
        </w:rPr>
      </w:pPr>
    </w:p>
    <w:p w14:paraId="0D43329C" w14:textId="77777777" w:rsidR="007B1E73" w:rsidRPr="007B1E73" w:rsidRDefault="007B1E73" w:rsidP="007B1E73">
      <w:pPr>
        <w:tabs>
          <w:tab w:val="left" w:pos="8985"/>
        </w:tabs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0"/>
          <w:szCs w:val="20"/>
          <w14:ligatures w14:val="none"/>
        </w:rPr>
      </w:pPr>
    </w:p>
    <w:p w14:paraId="65F94378" w14:textId="77777777" w:rsidR="007B1E73" w:rsidRPr="007B1E73" w:rsidRDefault="007B1E73" w:rsidP="007B1E73">
      <w:pPr>
        <w:spacing w:after="0" w:line="288" w:lineRule="auto"/>
        <w:rPr>
          <w:rFonts w:ascii="Garamond" w:eastAsia="Times New Roman" w:hAnsi="Garamond" w:cs="Times New Roman"/>
          <w:b/>
          <w:bCs/>
          <w:noProof w:val="0"/>
          <w:color w:val="000000"/>
          <w:kern w:val="0"/>
          <w:sz w:val="24"/>
          <w:szCs w:val="24"/>
          <w:lang w:eastAsia="ja-JP"/>
          <w14:ligatures w14:val="none"/>
        </w:rPr>
      </w:pPr>
      <w:r w:rsidRPr="007B1E73">
        <w:rPr>
          <w:rFonts w:ascii="Garamond" w:eastAsia="Times New Roman" w:hAnsi="Garamond" w:cs="Times New Roman"/>
          <w:b/>
          <w:bCs/>
          <w:noProof w:val="0"/>
          <w:color w:val="000000"/>
          <w:kern w:val="0"/>
          <w:sz w:val="24"/>
          <w:szCs w:val="24"/>
          <w:lang w:eastAsia="ja-JP"/>
          <w14:ligatures w14:val="none"/>
        </w:rPr>
        <w:t>Tabela wyceny:</w:t>
      </w:r>
    </w:p>
    <w:p w14:paraId="269E374A" w14:textId="77777777" w:rsidR="007B1E73" w:rsidRPr="007B1E73" w:rsidRDefault="007B1E73" w:rsidP="007B1E73">
      <w:pPr>
        <w:spacing w:after="0" w:line="288" w:lineRule="auto"/>
        <w:rPr>
          <w:rFonts w:ascii="Garamond" w:eastAsia="Times New Roman" w:hAnsi="Garamond" w:cs="Times New Roman"/>
          <w:b/>
          <w:bCs/>
          <w:noProof w:val="0"/>
          <w:color w:val="000000"/>
          <w:kern w:val="0"/>
          <w:sz w:val="24"/>
          <w:szCs w:val="24"/>
          <w:lang w:eastAsia="ja-JP"/>
          <w14:ligatures w14:val="none"/>
        </w:rPr>
      </w:pPr>
    </w:p>
    <w:p w14:paraId="1EBBE13C" w14:textId="77777777" w:rsidR="007B1E73" w:rsidRPr="007B1E73" w:rsidRDefault="007B1E73" w:rsidP="007B1E73">
      <w:pPr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 xml:space="preserve">   </w:t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  <w:t xml:space="preserve">                                                                                               </w:t>
      </w:r>
      <w:r w:rsidRPr="007B1E73">
        <w:rPr>
          <w:rFonts w:ascii="Times New Roman" w:eastAsia="Lucida Sans Unicode" w:hAnsi="Times New Roman" w:cs="Times New Roman"/>
          <w:b/>
          <w:bCs/>
          <w:noProof w:val="0"/>
          <w:color w:val="000000"/>
          <w:kern w:val="3"/>
          <w:lang w:eastAsia="zh-CN" w:bidi="hi-IN"/>
          <w14:ligatures w14:val="none"/>
        </w:rPr>
        <w:t>Cena netto</w:t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 xml:space="preserve">           </w:t>
      </w:r>
      <w:r w:rsidRPr="007B1E73">
        <w:rPr>
          <w:rFonts w:ascii="Times New Roman" w:eastAsia="Lucida Sans Unicode" w:hAnsi="Times New Roman" w:cs="Times New Roman"/>
          <w:b/>
          <w:bCs/>
          <w:noProof w:val="0"/>
          <w:color w:val="000000"/>
          <w:kern w:val="3"/>
          <w:lang w:eastAsia="zh-CN" w:bidi="hi-IN"/>
          <w14:ligatures w14:val="none"/>
        </w:rPr>
        <w:t>Cena brutto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1693"/>
        <w:gridCol w:w="1693"/>
      </w:tblGrid>
      <w:tr w:rsidR="007B1E73" w:rsidRPr="007B1E73" w14:paraId="5F416812" w14:textId="77777777" w:rsidTr="002B5E29">
        <w:trPr>
          <w:trHeight w:val="579"/>
        </w:trPr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BC7BFC" w14:textId="77777777" w:rsidR="007B1E73" w:rsidRPr="007B1E73" w:rsidRDefault="007B1E73" w:rsidP="007B1E7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</w:pPr>
            <w:bookmarkStart w:id="1" w:name="_Hlk193792776"/>
            <w:r w:rsidRPr="007B1E73"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  <w:t xml:space="preserve">A: </w:t>
            </w:r>
            <w:r w:rsidRPr="007B1E73">
              <w:rPr>
                <w:rFonts w:ascii="Times New Roman" w:eastAsia="MS Mincho" w:hAnsi="Times New Roman" w:cs="Times New Roman"/>
                <w:b/>
                <w:bCs/>
                <w:noProof w:val="0"/>
                <w:color w:val="000000"/>
                <w:kern w:val="0"/>
                <w:lang w:eastAsia="ja-JP"/>
                <w14:ligatures w14:val="none"/>
              </w:rPr>
              <w:t xml:space="preserve">Cena za sprzęt medyczny </w:t>
            </w:r>
            <w:r w:rsidRPr="007B1E73"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  <w:t>(w zł):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D6F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 w:val="0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81D3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 w:val="0"/>
                <w:color w:val="000000"/>
                <w:kern w:val="0"/>
                <w:lang w:eastAsia="ja-JP"/>
                <w14:ligatures w14:val="none"/>
              </w:rPr>
            </w:pPr>
          </w:p>
        </w:tc>
      </w:tr>
    </w:tbl>
    <w:p w14:paraId="6B42745F" w14:textId="77777777" w:rsidR="007B1E73" w:rsidRPr="007B1E73" w:rsidRDefault="007B1E73" w:rsidP="007B1E73">
      <w:pPr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1678"/>
        <w:gridCol w:w="1678"/>
      </w:tblGrid>
      <w:tr w:rsidR="007B1E73" w:rsidRPr="007B1E73" w14:paraId="329EBD36" w14:textId="77777777" w:rsidTr="002B5E29">
        <w:trPr>
          <w:trHeight w:val="579"/>
        </w:trPr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7747AF" w14:textId="77777777" w:rsidR="007B1E73" w:rsidRPr="007B1E73" w:rsidRDefault="007B1E73" w:rsidP="007B1E7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</w:pPr>
            <w:r w:rsidRPr="007B1E73"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  <w:t xml:space="preserve">B: </w:t>
            </w:r>
            <w:r w:rsidRPr="007B1E73">
              <w:rPr>
                <w:rFonts w:ascii="Times New Roman" w:eastAsia="MS Mincho" w:hAnsi="Times New Roman" w:cs="Times New Roman"/>
                <w:b/>
                <w:bCs/>
                <w:noProof w:val="0"/>
                <w:color w:val="000000"/>
                <w:kern w:val="0"/>
                <w:lang w:eastAsia="ja-JP"/>
                <w14:ligatures w14:val="none"/>
              </w:rPr>
              <w:t xml:space="preserve">Cena za adaptację pomieszczeń </w:t>
            </w:r>
            <w:r w:rsidRPr="007B1E73"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  <w:t>(w zł):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96C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 w:val="0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5005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 w:val="0"/>
                <w:color w:val="000000"/>
                <w:kern w:val="0"/>
                <w:lang w:eastAsia="ja-JP"/>
                <w14:ligatures w14:val="none"/>
              </w:rPr>
            </w:pPr>
          </w:p>
        </w:tc>
      </w:tr>
    </w:tbl>
    <w:p w14:paraId="0ECDA1F4" w14:textId="77777777" w:rsidR="007B1E73" w:rsidRPr="007B1E73" w:rsidRDefault="007B1E73" w:rsidP="007B1E73">
      <w:pPr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5449"/>
        <w:gridCol w:w="1684"/>
        <w:gridCol w:w="1684"/>
      </w:tblGrid>
      <w:tr w:rsidR="007B1E73" w:rsidRPr="007B1E73" w14:paraId="0B0C7A44" w14:textId="77777777" w:rsidTr="002B5E29">
        <w:trPr>
          <w:trHeight w:val="579"/>
        </w:trPr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ABF3F" w14:textId="77777777" w:rsidR="007B1E73" w:rsidRPr="007B1E73" w:rsidRDefault="007B1E73" w:rsidP="007B1E73">
            <w:pPr>
              <w:spacing w:after="0" w:line="240" w:lineRule="auto"/>
              <w:rPr>
                <w:rFonts w:ascii="Times New Roman" w:eastAsia="MS Mincho" w:hAnsi="Times New Roman" w:cs="Times New Roman"/>
                <w:noProof w:val="0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1790CD" w14:textId="77777777" w:rsidR="007B1E73" w:rsidRPr="007B1E73" w:rsidRDefault="007B1E73" w:rsidP="007B1E7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</w:pPr>
            <w:r w:rsidRPr="007B1E73"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  <w:t xml:space="preserve">C: </w:t>
            </w:r>
            <w:r w:rsidRPr="007B1E73">
              <w:rPr>
                <w:rFonts w:ascii="Times New Roman" w:eastAsia="MS Mincho" w:hAnsi="Times New Roman" w:cs="Times New Roman"/>
                <w:b/>
                <w:bCs/>
                <w:noProof w:val="0"/>
                <w:color w:val="000000"/>
                <w:kern w:val="0"/>
                <w:lang w:eastAsia="ja-JP"/>
                <w14:ligatures w14:val="none"/>
              </w:rPr>
              <w:t xml:space="preserve">Cena za sprzęt medyczny + prace adaptacyjne A+B=C </w:t>
            </w:r>
            <w:r w:rsidRPr="007B1E73"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  <w:t>(w zł):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FC2A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 w:val="0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B320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 w:val="0"/>
                <w:color w:val="000000"/>
                <w:kern w:val="0"/>
                <w:lang w:eastAsia="ja-JP"/>
                <w14:ligatures w14:val="none"/>
              </w:rPr>
            </w:pPr>
          </w:p>
        </w:tc>
      </w:tr>
      <w:bookmarkEnd w:id="1"/>
    </w:tbl>
    <w:p w14:paraId="78BB398C" w14:textId="77777777" w:rsidR="007B1E73" w:rsidRPr="007B1E73" w:rsidRDefault="007B1E73" w:rsidP="007B1E73">
      <w:pPr>
        <w:suppressAutoHyphens/>
        <w:autoSpaceDN w:val="0"/>
        <w:spacing w:after="200" w:line="276" w:lineRule="auto"/>
        <w:textAlignment w:val="baseline"/>
        <w:rPr>
          <w:rFonts w:ascii="Arial" w:eastAsia="Times New Roman" w:hAnsi="Arial" w:cs="Times New Roman"/>
          <w:noProof w:val="0"/>
          <w:kern w:val="3"/>
          <w:sz w:val="20"/>
          <w:szCs w:val="20"/>
          <w14:ligatures w14:val="none"/>
        </w:rPr>
      </w:pPr>
    </w:p>
    <w:p w14:paraId="419BAE90" w14:textId="77777777" w:rsidR="007B1E73" w:rsidRPr="007B1E73" w:rsidRDefault="007B1E73" w:rsidP="007B1E73">
      <w:pPr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Times New Roman"/>
          <w:noProof w:val="0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sz w:val="24"/>
          <w:szCs w:val="24"/>
          <w:lang w:eastAsia="zh-CN" w:bidi="hi-IN"/>
          <w14:ligatures w14:val="none"/>
        </w:rPr>
        <w:t>W ramach prac adaptacyjnych należy ująć wszsytkie prace wymienione w zał nr 1a do SWZ.</w:t>
      </w:r>
    </w:p>
    <w:p w14:paraId="0C84AA26" w14:textId="77777777" w:rsidR="007B1E73" w:rsidRPr="007B1E73" w:rsidRDefault="007B1E73" w:rsidP="007B1E73">
      <w:pPr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Times New Roman"/>
          <w:iCs/>
          <w:noProof w:val="0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iCs/>
          <w:noProof w:val="0"/>
          <w:color w:val="000000"/>
          <w:kern w:val="3"/>
          <w:sz w:val="24"/>
          <w:szCs w:val="24"/>
          <w:lang w:eastAsia="zh-CN" w:bidi="hi-IN"/>
          <w14:ligatures w14:val="none"/>
        </w:rPr>
        <w:t>jeżeli wybór oferty będzie prowadził do powstania u Zamawiającego obowiązku podatkowego, zgodnie z przepisami o podatku od towarów i usług, należy podać cenę netto.</w:t>
      </w:r>
    </w:p>
    <w:p w14:paraId="5880337E" w14:textId="77777777" w:rsidR="007B1E73" w:rsidRPr="007B1E73" w:rsidRDefault="007B1E73" w:rsidP="007B1E73">
      <w:pPr>
        <w:tabs>
          <w:tab w:val="left" w:pos="8985"/>
        </w:tabs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0"/>
          <w:szCs w:val="20"/>
          <w:lang w:eastAsia="ja-JP"/>
          <w14:ligatures w14:val="none"/>
        </w:rPr>
      </w:pPr>
    </w:p>
    <w:p w14:paraId="494451BF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Nazwa i typ: ...............................................................................</w:t>
      </w:r>
    </w:p>
    <w:p w14:paraId="5D00F895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Producent / kraj produkcji: ........................................................</w:t>
      </w:r>
    </w:p>
    <w:p w14:paraId="094D5110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Rok produkcji (min. 2025</w:t>
      </w:r>
      <w:proofErr w:type="gramStart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):  …</w:t>
      </w:r>
      <w:proofErr w:type="gramEnd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....................................................</w:t>
      </w:r>
    </w:p>
    <w:p w14:paraId="762B799F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</w:p>
    <w:tbl>
      <w:tblPr>
        <w:tblW w:w="94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38"/>
      </w:tblGrid>
      <w:tr w:rsidR="007B1E73" w:rsidRPr="007B1E73" w14:paraId="16DFB788" w14:textId="77777777" w:rsidTr="002B5E29"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CC68" w14:textId="77777777" w:rsidR="007B1E73" w:rsidRPr="007B1E73" w:rsidRDefault="007B1E73" w:rsidP="007B1E73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B1E73"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  <w:t>PARAMETRY TECHNICZNE I EKSPLOATACYJNE</w:t>
            </w:r>
          </w:p>
        </w:tc>
      </w:tr>
    </w:tbl>
    <w:p w14:paraId="1F9098BA" w14:textId="77777777" w:rsidR="007B1E73" w:rsidRPr="007B1E73" w:rsidRDefault="007B1E73" w:rsidP="007B1E7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  <w:t>WYKAZ PARAMETRÓW TECHNICZNYCH I UŻYTKOWYCH STACJONARNEGO CYFROWEGO KARDIOANGIOGRAFU DLA PRACOWNI HEMODYNAMIKI</w:t>
      </w:r>
    </w:p>
    <w:tbl>
      <w:tblPr>
        <w:tblW w:w="10141" w:type="dxa"/>
        <w:tblInd w:w="-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3648"/>
        <w:gridCol w:w="1620"/>
        <w:gridCol w:w="1534"/>
        <w:gridCol w:w="2419"/>
      </w:tblGrid>
      <w:tr w:rsidR="007B1E73" w:rsidRPr="007B1E73" w14:paraId="26601B53" w14:textId="77777777" w:rsidTr="002B5E29">
        <w:trPr>
          <w:tblHeader/>
        </w:trPr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D38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2E6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Opis parametru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92F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Warunek graniczny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F9E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Wartość oferowana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B7E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Ocena</w:t>
            </w:r>
          </w:p>
        </w:tc>
      </w:tr>
      <w:tr w:rsidR="007B1E73" w:rsidRPr="007B1E73" w14:paraId="1682F430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0E47" w14:textId="77777777" w:rsidR="007B1E73" w:rsidRPr="007B1E73" w:rsidRDefault="007B1E73" w:rsidP="007B1E73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8C7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System do angiografii cyfrowej do pracowni hemodynamiki Zamawiającego.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8BF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5BB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5A1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7976C8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8D43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032E" w14:textId="77777777" w:rsidR="007B1E73" w:rsidRPr="007B1E73" w:rsidRDefault="007B1E73" w:rsidP="007B1E7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przedmiotu zamówienia:</w:t>
            </w: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dostawa i zainstalowanie stacjonarnego systemu do angiografii cyfrowej wraz z wyposażeniem wg niżej wyspecyfikowanych wymagań</w:t>
            </w:r>
          </w:p>
          <w:p w14:paraId="7C2CCC41" w14:textId="77777777" w:rsidR="007B1E73" w:rsidRPr="007B1E73" w:rsidRDefault="007B1E73" w:rsidP="007B1E7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- wykonanie i zatwierdzenie projektu osłon stałych w raz z pomiarami skuteczności wentylacji</w:t>
            </w:r>
          </w:p>
          <w:p w14:paraId="5DA4E3EE" w14:textId="77777777" w:rsidR="007B1E73" w:rsidRPr="007B1E73" w:rsidRDefault="007B1E73" w:rsidP="007B1E73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noProof w:val="0"/>
                <w:kern w:val="3"/>
                <w:shd w:val="clear" w:color="auto" w:fill="FFFF00"/>
                <w14:ligatures w14:val="none"/>
              </w:rPr>
            </w:pP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- wykonanie testów odbiorczych poszerzonych o testy specjalistyczne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074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75F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E3D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3C497A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0E9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F85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Urządzenia fabrycznie nowe, nieregenerowane, niepowystawowe,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3BA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613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1B2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97AA78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145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47E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Rok produkcji 2025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BA1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CA0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B8A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2113A40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5C0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854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Czas realizacji zadania od 8 do max 10-tygodni od przekazania Pracowni do realizacji zadania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137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719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213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Kryterium oceny TR-do wypelnienia w formularzu ofertowym</w:t>
            </w:r>
          </w:p>
        </w:tc>
      </w:tr>
      <w:tr w:rsidR="007B1E73" w:rsidRPr="007B1E73" w14:paraId="49BF5CB1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A73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STATYW ANGIOGRAFU</w:t>
            </w:r>
          </w:p>
        </w:tc>
      </w:tr>
      <w:tr w:rsidR="007B1E73" w:rsidRPr="007B1E73" w14:paraId="6D769C3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D43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C4C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Mocowanie statywu do podłogi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155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2E3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4FF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519A89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487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FC2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Silnikowe ustawianie statywu w pozycji parkingowej – sposób realizacji</w:t>
            </w:r>
          </w:p>
          <w:p w14:paraId="5FB4592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Wersja 1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Odjazd lub obrót statywu do pozycji umożliwiającej dostęp do pacjenta na stole ze wszystkich stron</w:t>
            </w:r>
          </w:p>
          <w:p w14:paraId="24CDEF5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Wersja 2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Obrót statywu do pozycji za głową albo z jednego z boków pacjenta (tj. wzdłużnej albo prostopadłej do osi symetrii stołu), umożliwiający dostęp do pacjenta na stole z pozostałych stron lub inne rozwiązanie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785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366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736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Wersja 1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Wersja 2 – 0 pkt.</w:t>
            </w:r>
          </w:p>
        </w:tc>
      </w:tr>
      <w:tr w:rsidR="007B1E73" w:rsidRPr="007B1E73" w14:paraId="70D5A29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5EB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F66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badania pacjenta na zaoferowanym stole pionowo ustawioną wiązką centralną promieniowania wzdłuż osi symetrii stołu bez konieczności obrotu stołu lub zmiany ułożenia pacjenta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091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105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77D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AEC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Wart. największa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105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66E1862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71B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706F" w14:textId="77777777" w:rsidR="007B1E73" w:rsidRPr="00990339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</w:pPr>
            <w:r w:rsidRPr="00990339"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  <w:t>Ręczne (manualne) ustawianie statywu w pozycji parkingowej za pomocą zamocowanego na statywie uchwytu z możliwością zwalniania blokady ruchu statywu na uchwycie.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4A10" w14:textId="77777777" w:rsidR="007B1E73" w:rsidRPr="00990339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</w:pPr>
            <w:r w:rsidRPr="00990339"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  <w:t xml:space="preserve">Tak/Nie </w:t>
            </w:r>
          </w:p>
          <w:p w14:paraId="39F1057B" w14:textId="77777777" w:rsidR="007B1E73" w:rsidRPr="00990339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</w:pPr>
            <w:r w:rsidRPr="00990339"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  <w:t xml:space="preserve">Podać 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05F7" w14:textId="77777777" w:rsidR="007B1E73" w:rsidRPr="00990339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BD1B" w14:textId="77777777" w:rsidR="007B1E73" w:rsidRPr="00990339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</w:pPr>
            <w:r w:rsidRPr="00990339"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  <w:t xml:space="preserve">Tak – 3 pkt </w:t>
            </w:r>
          </w:p>
          <w:p w14:paraId="12BC8FB3" w14:textId="77777777" w:rsidR="007B1E73" w:rsidRPr="00990339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</w:pPr>
            <w:r w:rsidRPr="00990339"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  <w:t>Nie – 0pkt</w:t>
            </w:r>
          </w:p>
        </w:tc>
      </w:tr>
      <w:tr w:rsidR="007B1E73" w:rsidRPr="007B1E73" w14:paraId="1DE1305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E5A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17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Głębokość ramienia C mierzona od promienia centralnego do wewnętrznej krawędzi ramienia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558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90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551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2C6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Wart. największa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90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0EC5009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CAB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403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dostępnych projekcji ramienia C w kierunku LAO/RAO w pozycji statywu za głową pacjenta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BD5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220°,</w:t>
            </w:r>
            <w:r w:rsidRPr="007B1E73">
              <w:rPr>
                <w:rFonts w:ascii="Times New Roman" w:eastAsia="MS Mincho" w:hAnsi="Times New Roman" w:cs="Times New Roman"/>
                <w:bCs/>
                <w:noProof w:val="0"/>
                <w:kern w:val="3"/>
                <w:sz w:val="20"/>
                <w:szCs w:val="20"/>
                <w:lang w:eastAsia="ja-JP"/>
                <w14:ligatures w14:val="none"/>
              </w:rPr>
              <w:t xml:space="preserve">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AFA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A03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Wart. największa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220°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5BCCE9E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C446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915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dostępnych projekcji ramienia C w kierunku CRAN/CAUD w pozycji statywu za głową pacjenta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7D4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90°,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583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3C5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Wart. największa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90°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7AB012A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BB4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7E7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szybkość ramienia C w kierunku LAO/RAO w pozycji statywu za głową pacjenta z wyłączeniem angiografii rotacyjnej/obrazowania 3D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9BD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25°/s,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487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FFE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Wart. największa – 2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25°/s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4D8D3C1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BE0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B8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szybkość ramienia C w kierunku CRAN/CAUD w pozycji statywu za głową pacjenta z wyłączeniem angiografii rotacyjnej/obrazowania 3D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D68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25°/s,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174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3D9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Wart. największa – 2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25°/s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51E85EC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6E4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D33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Sterowanie ruchami statywu z pulpitu przy stole pacjenta; pulpit zabezpieczony przed rozbryzgami wody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BA8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IPx4, podać stopień ochrony zgodnie z PN-EN/IEC 60529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BD8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D07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243221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769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B82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Programowanie i przywoływanie pozycji ramienia C z pulpitu przy stole pacjenta min. 50 pozycji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919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935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296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F86D693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C0A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764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Automatyczne ustawianie statywu w pozycji odpowiadającej wybranemu obrazowi referencyjnemu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5BE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A70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C0A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69274A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A96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CD9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Automatyczny wybór obrazu referencyjnego (ze zbioru obrazów referencyjnych dynamicznych lub statycznych) odpowiadającego aktualnemu ustawieniu statywu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9B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636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AC7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3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2AF7CB53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0A4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3D1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System zabezpieczenia przed kolizją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2ED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 typ: software’owy, elektromechaniczny, pojemnościowy, inny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D05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8F3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Zabezpieczenia elektromechaniczne oraz pojemnościowe tj. bezdotykowe w oparciu o czujniki wykrywające pacjenta w czasie rzeczywistym –4 pkt</w:t>
            </w:r>
          </w:p>
          <w:p w14:paraId="724A645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Inne – 0 pkt</w:t>
            </w:r>
          </w:p>
        </w:tc>
      </w:tr>
      <w:tr w:rsidR="007B1E73" w:rsidRPr="007B1E73" w14:paraId="71F893E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FCB3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5F2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Wyświetlanie danych systemowych w sali badań (min. angulacja ramienia C, FOV, pozycja stołu, informacja o dawce i statusie cieplnym lampy RTG)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4C6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370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B35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4B90ABE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DE7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STÓŁ PACJENTA</w:t>
            </w:r>
          </w:p>
        </w:tc>
      </w:tr>
      <w:tr w:rsidR="007B1E73" w:rsidRPr="007B1E73" w14:paraId="00FC5DC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E58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E7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Stół stacjonarny, mocowany na stałe do podłogi, z pływającym blatem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2BC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725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AB7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1039B9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A22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FD4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vertAlign w:val="superscript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Blat z włókna węglowego przeznaczony do zabiegów kardiologicznych. Szerokość blatu </w:t>
            </w:r>
            <w:r w:rsidRPr="007B1E73">
              <w:rPr>
                <w:rFonts w:ascii="Times New Roman" w:eastAsia="Times New Roman" w:hAnsi="Times New Roman" w:cs="Times New Roman" w:hint="eastAsia"/>
                <w:noProof w:val="0"/>
                <w:kern w:val="3"/>
                <w:sz w:val="20"/>
                <w:szCs w:val="20"/>
                <w14:ligatures w14:val="none"/>
              </w:rPr>
              <w:t>≥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 48 cm</w:t>
            </w:r>
          </w:p>
          <w:p w14:paraId="7AAD427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vertAlign w:val="superscript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EB1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574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FFA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48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5773414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C07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F33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Pochłanialność blatu pacjenta w dowolnym miejscu w obszarze jego przezierności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731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ekwiwalent 1,4mmAl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B32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1CA1" w14:textId="77777777" w:rsidR="007B1E73" w:rsidRPr="00990339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</w:pPr>
            <w:r w:rsidRPr="00990339"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  <w:t>Wartość najmniejsza- 4 pkt.</w:t>
            </w:r>
            <w:r w:rsidRPr="00990339"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  <w:br/>
              <w:t>1,4 mmAl – 0 pkt.</w:t>
            </w:r>
            <w:r w:rsidRPr="00990339">
              <w:rPr>
                <w:rFonts w:ascii="Times New Roman" w:eastAsia="Times New Roman" w:hAnsi="Times New Roman" w:cs="Times New Roman"/>
                <w:strike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37548E4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07A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917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Całkowita długość blatu stołu, bez elementów przedłużających i szyn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645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290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21F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A0F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290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452C1974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4D7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4E9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Długość części blatu stołu przeziernej dla promieniowania X wysięg blatu stołu bez zawartości metalu </w:t>
            </w:r>
            <w:r w:rsidRPr="007B1E73">
              <w:rPr>
                <w:rFonts w:ascii="Times New Roman" w:eastAsia="Times New Roman" w:hAnsi="Times New Roman" w:cs="Times New Roman" w:hint="eastAsia"/>
                <w:noProof w:val="0"/>
                <w:kern w:val="3"/>
                <w:sz w:val="20"/>
                <w:szCs w:val="20"/>
                <w14:ligatures w14:val="none"/>
              </w:rPr>
              <w:t>≥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 120 cm (z wyłączeniem szyn akcesoryjnych)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ACD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120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E60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B68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120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598B5C2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3F8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BCF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przesuwu wzdłużnego blatu stołu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106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110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E94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63A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110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38B335B5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FCC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E3E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przesuwu poprzecznego blatu stołu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536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35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CC7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C05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35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62EB0EC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21B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55D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silnikowej regulacji wysokości stołu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728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25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1D4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FE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25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77CB249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0DC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A16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Dopuszczenie wykonywania akcji reanimacyjnej na wysuniętym blacie stołu przy założeniu, że łączne obciążenie stołu (ciężar pacjenta, ciężar osoby prowadzącej 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>reanimację itd.) nie przekracza podanego powyżej dopuszczalnego obciążenia stołu (brak zakazu w instrukcji obsługi oraz brak piktogramu określającego konieczność wykonywania resuscytacji nad stopą stołu)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D92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 xml:space="preserve">Tak/Nie podać 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030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3B8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Tak – 4 pkt </w:t>
            </w:r>
          </w:p>
          <w:p w14:paraId="0B52852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Nie – 0 pkt</w:t>
            </w:r>
          </w:p>
        </w:tc>
      </w:tr>
      <w:tr w:rsidR="007B1E73" w:rsidRPr="007B1E73" w14:paraId="6AB3E760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FB76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B29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obrotu stołuwokół osi pionowej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F53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240°,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4A6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EC5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240°–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44F4CEA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2DF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FE6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obciążalność stołu.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2B7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Min. </w:t>
            </w: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300  kg</w:t>
            </w:r>
            <w:proofErr w:type="gramEnd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FB0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2FB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300 kg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1C18235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E5E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F90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Sterowanie ruchami stołu z pulpitu przy stole pacjenta; pulpit zabezpieczony przed rozbryzgami wody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A7C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IPx4, podać stopień ochrony zgodnie z PN-EN/IEC 60529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8C5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8F4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E1CD87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7414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1B4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Akcesoria, min.: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materac termoelastyczny dopasowany kształtem i wielkością do blatu stołu;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szyny akcesoryjne z 3 stron stołu, umożliwiające mocowanie akcesoriów;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zestaw do zabiegów z dostępu promieniowego, składający się z wsuwanej pod materac i stabilizowanej ciężarem pacjenta wyprofilowanej podkładki z uchwytem na rękę, umożliwiającym rotowanie oraz zginanie przedramienia pacjenta w sposób pożądany przez operatora, oraz przeziernej dla promieniowania podpórki pod ramię pacjenta, pozwalającej na przygięcie przedramienia i położenie go na brzuchu pacjenta;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statyw na płyny infuzyjne przeznaczony do montażu na szynach akcesoryjnych;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przezierne dla promieniowania podkładki umieszczane wzdłuż tułowia pacjenta, utrzymujące jego ręce w komfortowej pozycji w trakcie długotrwałych zabiegów;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klipsy porządkujące kable EKG i mocujące je do blatu stołu;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podkładka pod głowę pacjenta w kształcie klina;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pasy zabezpieczające pacjenta przed upadkiem.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325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E80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86D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0D1D96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6E4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2E2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Stół z okablowaniem w kanałach kablowych podłogi przystosowanym do instalacji IVUS.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7DA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7AE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D67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7DF3382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7C1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RENTGENOWSKI GENERATOR WYSOKIEGO NAPIĘCIA, SYSTEM KONTROLI EKSPOZYCJI</w:t>
            </w:r>
          </w:p>
        </w:tc>
      </w:tr>
      <w:tr w:rsidR="007B1E73" w:rsidRPr="007B1E73" w14:paraId="7BD26F71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ED7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2BD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Moc nominalna generatora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DA0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100 kW,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3EB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D0F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989808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33F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F20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napięcia wyjściowego dla fluoroskopii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128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Min. 40-125 kV, </w:t>
            </w:r>
            <w:r w:rsidRPr="007B1E73">
              <w:rPr>
                <w:rFonts w:ascii="Times New Roman" w:eastAsia="MS Mincho" w:hAnsi="Times New Roman" w:cs="Times New Roman"/>
                <w:noProof w:val="0"/>
                <w:kern w:val="3"/>
                <w:sz w:val="20"/>
                <w:szCs w:val="20"/>
                <w:lang w:eastAsia="ja-JP"/>
                <w14:ligatures w14:val="none"/>
              </w:rPr>
              <w:t>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3F1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C14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FAA0ED5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B78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9E4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napięcia wyjściowego dla akwizycji zdjęciowych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89F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Min. 40-125 kV, </w:t>
            </w:r>
            <w:r w:rsidRPr="007B1E73">
              <w:rPr>
                <w:rFonts w:ascii="Times New Roman" w:eastAsia="MS Mincho" w:hAnsi="Times New Roman" w:cs="Times New Roman"/>
                <w:noProof w:val="0"/>
                <w:kern w:val="3"/>
                <w:sz w:val="20"/>
                <w:szCs w:val="20"/>
                <w:lang w:eastAsia="ja-JP"/>
                <w14:ligatures w14:val="none"/>
              </w:rPr>
              <w:t>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CA7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81B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8BC614F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EFA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81B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Automatyczny dobór i ustawianie parametrów ekspozycji do grubości/gęstości pacjenta, uwzględniający zmiany angulacji ramienia C, SID i kolimacji min. kV, mA, ms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EFF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CB0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7B2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785EDB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DAE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D90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Dopasowanie widma promieniowania do absorpcji różnych materiałów (w tym jod, bar, żelazo, platyna, tantal, tkanka miękka, gaz) w celu zwiększenia ich widoczności na obrazie lub możliwość stworzenia</w:t>
            </w:r>
          </w:p>
          <w:p w14:paraId="677BF17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przez specjalistę aplikacyjnego programów dopasowanych do absorbcji materiałów zgodnie</w:t>
            </w:r>
          </w:p>
          <w:p w14:paraId="18EAACC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 wymaganiami użytkownika.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477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221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745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6B62ED7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7E7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AEE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Wybór programów akwizycji zdjęciowej i fluoroskopii przy stole pacjenta oraz w sterowni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FB4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B13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ECA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F2936D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270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288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Zabezpieczenie przed przypadkowym wyzwoleniem promieniowania dostępne dla użytkownika – w sali badań i w sterowni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C03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F8A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6C5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05E89AF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BB84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7AE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Funkcja automatycznego przełączania ogniska lampy RTG umożliwiająca awaryjne dokończenie zabiegu w razie awarii jednego z tych ognisk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332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533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2C5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0EDD974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C44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EEF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Bezprzewodowy włącznik nożny wyzwalania promieniowania (fluoroskopia, akwizycja zdjęciowa) w sali badań zabezpieczony przed zalaniem cieczą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758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IPx8, podać stopień ochrony zgodnie z PN-EN/IEC 60529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FF1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54F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CD326A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20C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C39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 dodatkowe (oprócz fluoroskopii i akwizycji zdjęciowej), konfigurowalne przyciski nożnego włącznika promieniowania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77E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C3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AB7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2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2503DE7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015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8DC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Włącznik promieniowania (min. fluoroskopia i akwizycja zdjęciowa) w sterowni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A19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2F8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DF2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EF8E2FA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77E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LAMPA RTG, KOLIMATOR</w:t>
            </w:r>
          </w:p>
        </w:tc>
      </w:tr>
      <w:tr w:rsidR="007B1E73" w:rsidRPr="007B1E73" w14:paraId="29188841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94C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1E7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Ułożyskowanie anody bezszumowe (w łożysku „płynnym”)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66F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D4B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7F4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792DC71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DC7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8A3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Lampa min. 2-ogniskowa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104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869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D55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3898125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CE9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542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Rozmiar najmniejszego ogniska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C86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0,6 mm, podać zgodnie z PN-EN/IEC 60336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99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486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najmniejsza – 3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0,6 mm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0CC0B84F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273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E48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Rozmiar największego ogniska; dla lamp 2-ogniskowych podać wartość z punktu powyżej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6CD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1 mm, podać zgodnie z PN-EN/IEC 60336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ADC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AF5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najmniejsza – 3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1 mm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4855013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736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4C4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Maksymalna obciążalność najmniejszego ogniska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FE0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30 kW, podać zgodnie z PN-EN/IEC 60613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5D1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0F4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3pkt.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30 kW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596544F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B20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E44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Maksymalna obciążalność największego ogniska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406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65 kW, podać zgodnie z PN-EN/IEC 60613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97C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67C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3pkt.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65 kW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63C3491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75E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F5A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Mechanizm redukcji promieniowania resztkowego przy przełączaniu impulsów – sterowanie siatką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FB5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BD4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4A3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2B7110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F62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5D1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Maksymalny prąd lampy przy fluoroskopii pulsacyjnej z wykorzystaniem małego ogniska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A33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140mA,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D58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F78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140 mA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71A42BE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8C2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17C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Pojemność cieplna anody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E69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5000 kHU,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336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B68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Wartość największa </w:t>
            </w: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–  3</w:t>
            </w:r>
            <w:proofErr w:type="gramEnd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5000 kHU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05B4A97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85C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E29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Pojemność cieplna kołpaka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870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7000 kHU,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F3C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0A2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3pkt.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7000 kHU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78EA36F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48B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8D4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Maksymalne obciążenie anody mocą ciągłą (tj. bez ograniczeń czasowych);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623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1500 W,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CE7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A58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4783A1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7DA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94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Łączna dawka promieniowania przeciekowego zespołu lampy RTG w ciągu godziny przy maks. napięciu, maks. obciążeniu i w odległości maks. 1 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90D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0,5 mGy, podać wartość zgodnie z PN-EN/IEC 60601-1-3 i warunki pomiaru (napięcie [kV], obciążenie [W] i odległość [m])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0CD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E58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najmniejsza – 4pkt.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0,5 mGy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572CB32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4EFC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F01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Przysłony prostokątne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745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896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8BB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9A1782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E5A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865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 filtr półprzepuszczalny (klinowy) z możliwością obrotu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D04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217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8F4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B94A7E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F55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F8A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Sterowanie kolimatorem z pulpitu przy stole pacjenta; pulpit zabezpieczony przed rozbryzgami wody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1E6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IPx4, podać stopień ochrony zgodnie z PN-EN/IEC 60529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BD5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8D3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F4ADA81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83C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90A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Dodatkowa (poza wewnętrzną filtracją lampy) maksymalna filtracja promieniowania w kolimatorze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351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równoważnik 0,9 mm Cu,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150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D84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0,9 mmCu–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2ED73D5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8856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46A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Liczba stopni dodatkowej (poza wewnętrzną filtracją lampy) filtracji w kolimatorze min. 3 stopnie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2E7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5A4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1B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A9F158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A2E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3F6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Automatyczny dobór (z uwzględnieniem zmiennej grubości pacjenta przy różnych angulacjach) oraz samoczynne wsuwanie (silnikowe, bez ingerencji obsługi) dodatkowej (poza wewnętrzną filtracją lampy) filtracji </w:t>
            </w:r>
          </w:p>
          <w:p w14:paraId="774C10D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lub stała dodatkowa filtracja np. filtry miedziowe promieniowania odpowiednik powyżej 0,9 mm Cu przy prześwietleniu i ekspozycjach zdjęciowych/scenach w celu redukcji dawki i poprawy jakości obrazu – przy fluoroskopii i przy akwizycji zdjęciowej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A0F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A2B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FEA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02AAD7A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BE5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422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Sygnalizator zbliżania się do temperatury przegrzania lampy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F2F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BFE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CAE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779161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3CC4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2B4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Monitorowanie dawki promieniowania na wyjściu z lampy przy fluoroskopii i ekspozycji zdjęciowej oraz dawki całkowitej, wyświetlanie dawki (lub iloczynu dawki i pola powierzchni) w sali badań oraz w sterowni; możliwość wydruku informacji o dawce na pacjenta na drukarce sieciowej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5DB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0E0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B0A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1BD33BBF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4C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817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Zapis raportów o dawce w formatach DICOM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CA7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AE6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FBB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F5723D4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D9B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DETEKTOR OBRAZU</w:t>
            </w:r>
          </w:p>
        </w:tc>
      </w:tr>
      <w:tr w:rsidR="007B1E73" w:rsidRPr="007B1E73" w14:paraId="1AB2A68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759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4D7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Płaski detektor cyfrowy o wymiarach aktywnego obszaru obrazowania min. 200 mm x 200 mm oraz maks. 225 mm x 225 mm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E66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20B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D1E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B1186C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069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0F3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Ilość pól widzenia detektora (FOV)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D56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5,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51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2C7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3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5 pól widzenia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63F6627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61C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F4E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Głębia bitowa detektora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00E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14 bit,</w:t>
            </w:r>
            <w:r w:rsidRPr="007B1E73">
              <w:rPr>
                <w:rFonts w:ascii="Times New Roman" w:eastAsia="MS Mincho" w:hAnsi="Times New Roman" w:cs="Times New Roman"/>
                <w:noProof w:val="0"/>
                <w:kern w:val="3"/>
                <w:sz w:val="20"/>
                <w:szCs w:val="20"/>
                <w:lang w:eastAsia="ja-JP"/>
                <w14:ligatures w14:val="none"/>
              </w:rPr>
              <w:t xml:space="preserve">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E7A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77D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9A9021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AC7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578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Wielkość piksela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B68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185 μm,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F14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CB1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177E62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5863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CFF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Rozdzielczość przestrzenna detektora 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(tzw. częstotliwość Nyquista)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164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2,6 lp/mm,</w:t>
            </w:r>
            <w:r w:rsidRPr="007B1E73">
              <w:rPr>
                <w:rFonts w:ascii="Times New Roman" w:eastAsia="MS Mincho" w:hAnsi="Times New Roman" w:cs="Times New Roman"/>
                <w:noProof w:val="0"/>
                <w:kern w:val="3"/>
                <w:sz w:val="20"/>
                <w:szCs w:val="20"/>
                <w:lang w:eastAsia="ja-JP"/>
                <w14:ligatures w14:val="none"/>
              </w:rPr>
              <w:t xml:space="preserve">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F8E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E03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47B0F5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805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8F4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Typowa detekcyjna wydajność kwantowa detektora (DQE) przy 0 lp/mm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988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Min. 73%, </w:t>
            </w:r>
            <w:r w:rsidRPr="007B1E73">
              <w:rPr>
                <w:rFonts w:ascii="Times New Roman" w:eastAsia="MS Mincho" w:hAnsi="Times New Roman" w:cs="Times New Roman"/>
                <w:noProof w:val="0"/>
                <w:kern w:val="3"/>
                <w:sz w:val="20"/>
                <w:szCs w:val="20"/>
                <w:lang w:eastAsia="ja-JP"/>
                <w14:ligatures w14:val="none"/>
              </w:rPr>
              <w:t>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29D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086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AA7621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1703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98B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Silnikowy, automatyczny (bez ingerencji obsługi) równoczesny obrót przysłony na lampie RTG oraz detektora dla kompensacji obrotu obrazu przy obrocie statywu i stołu pacjenta względem siebie – bez zmiany pola widzenia detektora lub rozwiązanie elektroniczne dla detektora kwadratowego.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A16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24E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DA1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394B8135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265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6F2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Silnikowy przesuw detektora – zmiana odległości źródło-obraz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468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30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F82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7F6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30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7AFBD25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A75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B3B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Przyciski na obudowie detektora umożliwiające zmianę angulacji ramienia C oraz SID przez operatora stojącego u wezgłowia pacjenta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1CD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220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D41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3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6479F49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5F33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EA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Wyjmowana kratka przeciwrozproszeniowa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ECA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9F8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F3B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17CE0998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624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MONITORY, OBSŁUGA SYGNAŁÓW WIZYJNYCH</w:t>
            </w:r>
          </w:p>
        </w:tc>
      </w:tr>
      <w:tr w:rsidR="007B1E73" w:rsidRPr="007B1E73" w14:paraId="6148CA6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C59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F71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Wielkoformatowy monitor LCD o przekątnej min. 55” i rozdzielczości min. 8 mln pikseli wraz z zawieszeniem sufitowym w sali zabiegowej, umożliwiającym przesuwanie, obrót i zmianę wysokości monitora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26F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CA1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E32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55’</w:t>
            </w: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’  –</w:t>
            </w:r>
            <w:proofErr w:type="gramEnd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068022F1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ACE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11C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Sterownik zapewniający obsługę monitora opisanego powyżej, w tym podłączenie 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>min. 9 sygnałów i jednoczasową prezentację co najmniej: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obrazu live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obrazu referencyjnego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obrazu ze stacji roboczej z oprogramowaniem do poprawy widoczności stentów w naczyniach wieńcowych (jeśli funkcjonalność nie jest realizowana przez komputer obrazowy angiografu)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obrazu przebiegów i parametrów obliczanych przez stację hemodynamiczną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min. 2 obrazy z innych urządzeń Zamawiającego (np. USG, IVUS, OCT, stacja roboczaPACS), generujących zarówno sygnał analogowy, jak i cyfrowy – uniwersalne panele z gniazdami video, umożliwiające przyłączanie takich urządzeń, zlokalizowane w miejscach wskazanych przez Zamawiającego w sali zabiegowej oraz w sterowni; wymagane jest zachowanie separacji galwanicznej min. 4kV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D74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086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0F9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C13FF94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355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2B5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Wybór sposobu prezentacji – sterowanie sposobem podziału monitora opisanego powyżej z pulpitu sterowniczego systemu cyfrowego w sali zabiegowej oraz w sterowni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95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C6B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595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8D1C93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8CC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518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Wybór sygnału wejściowego oraz przełączanie obrazów przy pomocy ekranu dotykowego zlokalizowanego bezpośrednio przy stole operatora metodą ,,przyciągnij i upuść”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1A2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CFD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23A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3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17E10AB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ABE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BEF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Możliwość dowolnej liczby manipulacji podziałami monitora, niezależnie od wcześniejszego zaprogramowania, łącznie z powiększeniem jednego z obrazów. Możliwość zmiany rozmiaru obrazu wideo w czasie rzeczywistym i dostosowywania układu ekranu podczas procedury bez korzystania z ustawień konfiguracji. Możliwość tworzenia dowolnej liczby elastycznych układów ekranów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42E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3EF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2EE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3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1381AEF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1FC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83C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 monitor LCD o przekątnej min. 24” zainstalowany w sterowni.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5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AB3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4B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  <w:p w14:paraId="59B8A7C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1 monitor min. 24’’ – 0 pkt</w:t>
            </w:r>
          </w:p>
          <w:p w14:paraId="1C08AA8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min. 2 monitory min 24’’ – 3 pkt </w:t>
            </w:r>
          </w:p>
        </w:tc>
      </w:tr>
      <w:tr w:rsidR="007B1E73" w:rsidRPr="007B1E73" w14:paraId="68A2AC17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0C7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SYSTEM CYFROWY I OPROGRAMOWANIE KLINICZNE</w:t>
            </w:r>
          </w:p>
        </w:tc>
      </w:tr>
      <w:tr w:rsidR="007B1E73" w:rsidRPr="007B1E73" w14:paraId="487632D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CD4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6F0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Pakiet aplikacji redukujących dawkę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C6B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 nazwę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827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F27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119377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8FD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CDA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 xml:space="preserve">Najbardziej zaawansowane rozwiązanie dla danego producentastosowane w systemach </w:t>
            </w: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angiograficznych,zapewniająceużytkownikowi</w:t>
            </w:r>
            <w:proofErr w:type="gramEnd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 xml:space="preserve"> wyjątkową czułość, jakość obrazowania oraz ultra</w:t>
            </w:r>
          </w:p>
          <w:p w14:paraId="1198291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lastRenderedPageBreak/>
              <w:t>niską dawkę promieniowania (np. Clarity IQ, OPTIQ, sieci neuronowe - zależnie od nomenklatury producenta)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B57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>TAK, podać nazwę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989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282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8B6AD2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74CC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822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Cyfrowa fluoroskopia pulsacyjna w zakresie min. 1-30 kl./s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46B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DDC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3E1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A7CC2B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DFF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24A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Zapis ostatniej fluoroskopii na dysku twardym min. 20 s przy częstotliwości obrazowania 30 kl./s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D72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239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5BC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1C68DF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520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BFE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Funkcja LIH (zamrożenie ostatniego obrazu)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9C9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679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9C5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D5EA74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5CA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119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Funkcja nakładania odwróconego obrazu referencyjnego na obraz live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D4C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756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3F6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FC3BB3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9D5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170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Akwizycja kardiologiczna w zakresie min. 10-30 kl./s w pełnej matrycy akwizycyjnej detektora i min. 12-bitowej głębi szarości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7FB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B2A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61D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C2B66F5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10B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E6E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Protokoły obrazowania w trybach fluoroskopii i akwizycji, umożliwiające rejestrację obrazu z obniżoną min. o 50% dawką promieniowania względem wartości standardowych przy zachowaniu diagnostycznej jakości obrazu w typowych warunkach – bez zmiany częstotliwości obrazowania, kolimacji, stopnia powiększenia lub odległości źródło-obraz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8B5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C88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4AB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0F89BE5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B75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8C0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Ustawianie położenia prostokątnych i przysłony/ przysłon półprzepuszczalnych znacznikami graficznymi na zatrzymanym obrazie – bez promieniowania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BE7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5C0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5ED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8606CE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A41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EE0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Ustawianie położenia płyty stołu pacjenta znacznikami graficznymi na zatrzymanym obrazie – bez promieniowania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51D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9F8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1D3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621446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89C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79C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Pojemność dysku twardego systemu cyfrowego (bez kompresji) min. 50 000 obrazów w matrycy 1024x1024x12 bitów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41E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117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D3E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433CC5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EF7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67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Zoom w postprocessingu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03C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189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D3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5C7C184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474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07F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Oprogramowanie do poprawy widoczności stentów w naczyniach wieńcowych; zapis przetworzonych obrazów na dysku twardym.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902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 nazwę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366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7C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095D94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9EB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FAC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Funkcja stabilizacji obrazu ruchomego stentu umożliwiająca korzystanie z oprogramowania opisanego w punkcie powyżej w czasie rzeczywistym, tj. w trakcie pozycjonowania stentu, bez przerywania promieniowania w celu postprocessingu obrazu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303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 nazwę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369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612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334328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56E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BB2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Oprogramowanie do analizy stenoz naczyń wieńcowych w oparciu o algorytmy posiadające walidację kliniczną (CAAS II lub równoważne), umożliwiające prowadzenie wieloośrodkowych badań naukowych minimum: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automatyczne rozpoznawanie kształtów,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określanie stopnia stenozy,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automatyczne i ręczne określanie średnicy referencyjnej,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>- automatyczna i manualna kalibracja,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pomiar średnicy,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9BD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445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E71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8BD942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ECC4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C38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Ekran dotykowy przy stole pacjenta – pulpit sterowniczy systemu cyfrowego w sali badań, realizacja funkcji systemu cyfrowego z pulpitu sterowniczego w sali zabiegowej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852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C41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120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8785C4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0D5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7729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Wykonanie pomiarów bezpośrednio na obrazie klinicznym</w:t>
            </w:r>
          </w:p>
          <w:p w14:paraId="655B3995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wyświetlanym na ekranie pulpitu dotykowego zainstalowanym</w:t>
            </w:r>
          </w:p>
          <w:p w14:paraId="77BCF339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przy stole w sali badań.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D9B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9BF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465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A58129F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FB3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3F22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Rysowanie konturów naczyń przy stole pacjenta na panelu</w:t>
            </w:r>
          </w:p>
          <w:p w14:paraId="19C1CB61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dotykowym wraz z nałożeniem rysowanych konturów na</w:t>
            </w:r>
          </w:p>
          <w:p w14:paraId="3AA3FB6A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fluoroskopię w czasie rzeczywistym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EDA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A2F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DD5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52152C1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55C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4C80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Funkcja roadmap dynamiczny dla procedur w obrębie naczyń</w:t>
            </w:r>
          </w:p>
          <w:p w14:paraId="425298CD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wieńcowych tzn. nałożenie ruchomego obrazu (mapy) tętnicy</w:t>
            </w:r>
          </w:p>
          <w:p w14:paraId="75BCC331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wieńcowej na ruchomy obraz fluoroskopii w taki sposób, aby</w:t>
            </w:r>
          </w:p>
          <w:p w14:paraId="65991D05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wyświetlany aktualnie obraz odpowiadał aktualnej pozycji tętnicy</w:t>
            </w:r>
          </w:p>
          <w:p w14:paraId="3DFB2A26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wieńcowej na obrazie fluoroskopowym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CBC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27D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D2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0FA86CA3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8D4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D9F8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Wielopaszczyznowa angiografia rotacyjna- rozszerzenie skanu</w:t>
            </w:r>
          </w:p>
          <w:p w14:paraId="6BA1D363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rotacyjnego zapewniającego wgląd w czasie rzeczywistym do</w:t>
            </w:r>
          </w:p>
          <w:p w14:paraId="3A376411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drzewa tętnic wieńcowych tj. automatyczny (bez ręcznego</w:t>
            </w:r>
          </w:p>
          <w:p w14:paraId="7A06B79D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sterowania przez operatora) ruch statywu po zaprojektowanej</w:t>
            </w:r>
          </w:p>
          <w:p w14:paraId="6EBF0143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trajektorii uwzględniającej zmienne odchylenia LAO/RAO –</w:t>
            </w:r>
          </w:p>
          <w:p w14:paraId="30A051AA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CRAN/CAUD – RAO/LAO.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B70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8FC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C80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5588FA8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6B6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2AA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Specjalistyczne oprogramowanie do wspierania zabiegów z zakresu strukturalnych wad serca umożliwiające automatyczną segmentację obrazów CT oraz automatyczne pomiary niezbędne do przeprowadzenia procedury TAVI oraz automatyczne wyznaczenie projekcji niezbędnych dla wykonania zabiegu wraz z wykorzystaniem wyniku takiej segmentacji jako roadmappingu 3D ze śledzeniem kątów ramienia C pozycji stołu oraz statywu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136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BAC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168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A108A8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03C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CBD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Sterowanie aplikacjami stacji rekonstrukcji 3D z poziomu ekranu dotykowego pulpitu sterowniczego </w:t>
            </w: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angiografu  przy</w:t>
            </w:r>
            <w:proofErr w:type="gramEnd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 stole pacjenta realizowane poprzez przesuw palca na obrazie 3D wyświetlanym na ekranie dotykowym w zakresie co najmniej: obrót obrazu 3D, zoom, zmiana trybu rekonstrukcji, jasność oraz kontrast.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581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53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EFF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418D89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1E2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DE8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Pulpit sterowniczy systemu cyfrowego w sterowni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62D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DFD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813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3ED86E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F87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E47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Interfejs DICOM, min. usługi: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Send,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Storage Commitment,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Query/Retrieve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Worklist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MPPS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(dopuszcza się realizację usług Worklist i MPPS przez stację hemodynamiczną, jeśli jednorazowa rejestracja pacjenta w całym systemie odbywa się za pośrednictwem stacji hemodynamicznej)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C29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AD8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83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184579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F74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255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Wyświetlanie sygnału EKG rejestrowanego przez stację hemodynamiczną na tle obrazu live; zapis obrazów rentgenowskich wraz z sygnałem EKG w standardzie DICOM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F7F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4AA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974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3496C94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F86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580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Funkcja wykonywania automatycznej archiwizacji danych obrazowych w standardzie DICOM w zdefiniowanym węźle sieciowym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B43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89D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A6F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6B4B6C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3B5C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313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Archiwizacja obrazów na płytach CD-R i DVD w standardzie DICOM z dogrywaniem viewera umożliwiającego odtwarzanie nagranych płyt na innych komputerach (domowych)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909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2F5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52A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3E0626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79C4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1CF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Eksport danych w formatach Windows (obrazy statyczne i dynamiczne)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CB2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wymienić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837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4BA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FADA44E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7C6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STACJA HEMODYNAMICZNA</w:t>
            </w:r>
          </w:p>
        </w:tc>
      </w:tr>
      <w:tr w:rsidR="007B1E73" w:rsidRPr="007B1E73" w14:paraId="10C1063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2E3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9A6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Automatyczny transfer danych demograficznych pacjentów, rejestrowanych w stacji badań hemodynamicznych do systemu cyfrowego angiografu lub w kierunku przeciwnym (zależnie od miejsca rejestracji pacjenta w systemie) – jednokrotna rejestracja pacjenta w całym systemie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DBC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4FA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CF7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16A9160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45F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1AB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Baza danych umożliwiająca przechowywanie wyników badań: danych demograficznych pacjentów wraz z zarejestrowanymi przynależnymi przebiegami EKG, ciśnień i innymi mierzonymi parametrami oraz z wyliczonymi wskaźnikami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3C8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491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7C0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A0DED8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ADB6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19C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 monitor min. 19” w sterowni do wyświetlania sygnałów: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przebiegów i mierzonych wartości,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obraz komunikacji z systemem komputerowym stacji badań hemodynamicznych.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A81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F23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231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69D7563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AC36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6EB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Wyprowadzenie sygnałów wizyjnych na monitor na zawieszeniu sufitowym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D0F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E6F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FA3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D5D0DB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F7E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62A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Pomiar i jednoczesna prezentacja 12 kanałów EKG – w zestawie bezcieniowe kable EKG (min. 1 komplet odprowadzeń przedsercowych i kończynowych)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019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55B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7FD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367737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772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0FA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Pomiar i prezentacja częstości akcji serca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F56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3C6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F5A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A88DAD3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8DF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58F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Pomiar i prezentacja cardiacoutput (CO) metodą termodylucji i Ficka – wraz z akcesoriami.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7E2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wymienić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8AA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501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3032E2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A14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E55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Pomiar i prezentacja SpO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vertAlign w:val="subscript"/>
                <w14:ligatures w14:val="none"/>
              </w:rPr>
              <w:t>2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 – łącznie z czujnikiem wielokrotnego użytku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8F4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771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B72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C76A663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BB8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049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Pomiar i prezentacja ciśnienia nieinwazyjnego – łącznie z mankietem pomiarowym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CBB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90B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35B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5B68F9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EAB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9A7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Pomiar i jednoczesna prezentacja min. 4 różnych ciśnień inwazyjnych – łącznie z min. 50 szt. jednorazowych czujników pomiarowych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6F7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3CE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DEC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011EAE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C9F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521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Oprogramowanie do obliczania parametrów hemodynamicznych (lewe i prawe serce dla dorosłych i dzieci) m.in. gradienty ciśnień, powierzchnie otwarcia zastawek, przecieki międzyjamowe, opory naczyniowe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0C5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98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503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5274E2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7E1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91A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Oprogramowanie do obliczania współczynnika rezerwy wieńcowej FFR i iFR lub DFR, IVUS, OCT w oparciu o pomiar za pomocą urządzeń min. 2 producentów wraz zapisem wyniku w bazie danych stacji hemodynamicznej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5DD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 producentów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582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8F7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2BEC65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152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35F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Pulpit sterowniczy stacji hemodynamicznej w sali badań zintegrowany w pulpicie obsługi systemu cyfrowego </w:t>
            </w: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angiografu  –</w:t>
            </w:r>
            <w:proofErr w:type="gramEnd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 realizacja funkcji stacji hemodynamicznej z pulpitu sterowniczego systemu cyfrowego angiografu w sali zabiegowej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F7A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95B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45D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AECFA1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B58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CA7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Kolorowa laserowa drukarka sieciowa do drukowania dokumentacji medycznej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246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75F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5A3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703704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3573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73F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Zasilanie z centralnego UPS angiografu lub UPS zarezerwowany wyłącznie dla stacji badań hemodynamicznych, umożliwiający w przypadku zaniku zasilania zapisanie w pamięci zmierzonych krzywych/wyliczonych parametrów hemodynamicznych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8A7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9F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963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1ABA642" w14:textId="77777777" w:rsidTr="002B5E29"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4BC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FD8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Pełna integracja z posiadanym systemem </w:t>
            </w: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PACS(</w:t>
            </w:r>
            <w:proofErr w:type="gramEnd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SyngoPlaza i RIS (Eskulap)</w:t>
            </w:r>
          </w:p>
        </w:tc>
        <w:tc>
          <w:tcPr>
            <w:tcW w:w="1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431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A15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D02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8AC691C" w14:textId="77777777" w:rsidTr="002B5E29"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2B5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4C2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14:ligatures w14:val="none"/>
              </w:rPr>
              <w:t>Pompa kontrpulsacyjna</w:t>
            </w:r>
          </w:p>
        </w:tc>
        <w:tc>
          <w:tcPr>
            <w:tcW w:w="1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44F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A40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39A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F7FF646" w14:textId="77777777" w:rsidTr="002B5E29"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00A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052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Strzykawka automatyczna zintegrowana z aparatem</w:t>
            </w:r>
          </w:p>
        </w:tc>
        <w:tc>
          <w:tcPr>
            <w:tcW w:w="1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73C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75D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E62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E70D2F9" w14:textId="77777777" w:rsidTr="002B5E29"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DDA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442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Robot do nagrywania płyt CD-R w standardzie DICOM z dogrywaniem viewera umożliwiającego odtwarzanie nagranych płyt na innych komputerach</w:t>
            </w:r>
          </w:p>
        </w:tc>
        <w:tc>
          <w:tcPr>
            <w:tcW w:w="1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83D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5F2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E31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0BE9BAB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857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noProof w:val="0"/>
                <w:kern w:val="3"/>
                <w:sz w:val="20"/>
                <w:szCs w:val="20"/>
                <w14:ligatures w14:val="none"/>
              </w:rPr>
              <w:t>WYPOSAŻENIE DODATKOWE</w:t>
            </w:r>
          </w:p>
        </w:tc>
      </w:tr>
      <w:tr w:rsidR="007B1E73" w:rsidRPr="007B1E73" w14:paraId="77AB1DEF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B19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7F6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Gniazdo zasilania i synchronizacji automatycznego wstrzykiwacza środków kontrastowych z angiografem w sali zabiegowej przy stole pacjenta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E62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992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DE6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4A0CD7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5813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D3A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Osłona przed promieniowaniem na dolne partie ciała (dla personelu) w postaci 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 xml:space="preserve">fartucha z gumy ołowiowej mocowanego do szyn akcesoryjnych przy stole pacjenta </w:t>
            </w: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o równoważniku min. 0,5 mm Pb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862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9A3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79E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24A4E9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193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2C0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Osłona przed promieniowaniem na górne części ciała w postaci szyby ołowiowej mocowanej na suficie </w:t>
            </w: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o równoważniku min. 0,5 mm Pb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612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407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84D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3FD5A4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030C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B78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Lampa do oświetlania pola cewnikowania min. 70 000 luksów.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A90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513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F63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2C8E14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B454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E67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Interkom 2-kierunkowy sterownia-sala badań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196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90D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4A7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0AE944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0A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3A62" w14:textId="77777777" w:rsidR="007B1E73" w:rsidRPr="007B1E73" w:rsidRDefault="007B1E73" w:rsidP="007B1E7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Osłony osobiste:</w:t>
            </w: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Fartuch ochronny, dwuczęściowy (kamizelka + spódnica) wykonany z tworzywa bezołowiowego o ekwiwalencie minimum 0,5mm Pb w z przodu fartucha - 7 sztuk.</w:t>
            </w: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Osłona na tarczycę wykonana z tworzywa bezołowiowego o ekwiwalencie minimum 0,5mm Pb w całości osłony – 12 sztuk.</w:t>
            </w: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Okulary ochronne wykonane z lekkiego tworzywa o równoważniku minimum 0,75mm Pb z możliwością korekcji wady wzroku –4 sztuki, bez możliwości korekcji wady wzroku 3sztuki.</w:t>
            </w:r>
          </w:p>
          <w:p w14:paraId="0C388F28" w14:textId="77777777" w:rsidR="007B1E73" w:rsidRPr="007B1E73" w:rsidRDefault="007B1E73" w:rsidP="007B1E73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Przyłbice ochronne 6szt.</w:t>
            </w: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Wybór rozmiarów po uzgodnieniu z Zamawiającym.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A4E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2F8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2BA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1B787E93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65D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D27" w14:textId="77777777" w:rsidR="007B1E73" w:rsidRPr="007B1E73" w:rsidRDefault="007B1E73" w:rsidP="007B1E73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System UPS dla angiografu gwarantujący</w:t>
            </w:r>
          </w:p>
          <w:p w14:paraId="14A2DCA9" w14:textId="77777777" w:rsidR="007B1E73" w:rsidRPr="007B1E73" w:rsidRDefault="007B1E73" w:rsidP="007B1E73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bezprzerwowe (bez konieczności restartu systemu) podtrzymanie pracy wszystkich niezbędnych elementów zestawu</w:t>
            </w:r>
          </w:p>
          <w:p w14:paraId="46F7EA8E" w14:textId="77777777" w:rsidR="007B1E73" w:rsidRPr="007B1E73" w:rsidRDefault="007B1E73" w:rsidP="007B1E73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angiokardiograficznego dla bezpiecznego zakończenia i zapisania (zapamiętania) badania przez czas min. 20 minut. Dla utrzymania ciągłości obrazowania radiologicznego konieczne jest zapewnienie przez ten czas</w:t>
            </w:r>
          </w:p>
          <w:p w14:paraId="2FEE150A" w14:textId="77777777" w:rsidR="007B1E73" w:rsidRPr="007B1E73" w:rsidRDefault="007B1E73" w:rsidP="007B1E73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co najmniej: radiografii i fluoroskopii, działania cyfrowego systemu</w:t>
            </w:r>
          </w:p>
          <w:p w14:paraId="5BA9F719" w14:textId="77777777" w:rsidR="007B1E73" w:rsidRPr="007B1E73" w:rsidRDefault="007B1E73" w:rsidP="007B1E73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obrazowania z postprocesingiem i archiwizacją, oraz wszystkich</w:t>
            </w:r>
          </w:p>
          <w:p w14:paraId="22796B73" w14:textId="77777777" w:rsidR="007B1E73" w:rsidRPr="007B1E73" w:rsidRDefault="007B1E73" w:rsidP="007B1E73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ruchów ramienia i stołu w wymaganym czasie.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EDC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  <w:p w14:paraId="757E8ED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 podać</w:t>
            </w:r>
            <w:proofErr w:type="gramEnd"/>
          </w:p>
          <w:p w14:paraId="133A9EE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moc w kVA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F06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C6D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B67371B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9E0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noProof w:val="0"/>
                <w:kern w:val="3"/>
                <w:sz w:val="20"/>
                <w:szCs w:val="20"/>
                <w14:ligatures w14:val="none"/>
              </w:rPr>
              <w:t>POZOSTAŁE WYMAGANIA</w:t>
            </w:r>
          </w:p>
        </w:tc>
      </w:tr>
      <w:tr w:rsidR="007B1E73" w:rsidRPr="007B1E73" w14:paraId="5B4434D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C214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46B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Certyfikaty i dopuszczenia zgodnie z obowiązującym prawem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B9D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7C1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41A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346A3E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997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3C6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Dostawa, instalacja oraz uruchomienie aparatu rentgenowskiego na koszt Wykonawcy w miejscu wskazanym przez Zamawiającego. Wykonawca przekaże urządzenie do eksploatacji ze wszystkimi niezbędnymi dokumentami (paszport techniczny itp.)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DF4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B3C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266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CFFCF9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7DE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EE7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Instrukcja obsługi w języku polskim w wersji elektronicznej i papierowej – po dostawie systemu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4C7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F13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847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64A7CCF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6B7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6FC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 xml:space="preserve">Wykonanie testów odbiorczych i specjalistycznych po instalacji oferowanego zestawu rentgenowskiego zgodnie z aktualnie obowiązującym Rozporządzeniem Ministra Zdrowia. 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Wykonanie testów akceptacyjnych po istotnych naprawach gwarancyjnych.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14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41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B4B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877D93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E5D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593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Okres gwarancji – min. 24 miesiące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EF4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1BC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A3B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Kryterium oceny TG-wypełnić w formualrzu ofertowym</w:t>
            </w:r>
          </w:p>
        </w:tc>
      </w:tr>
      <w:tr w:rsidR="007B1E73" w:rsidRPr="007B1E73" w14:paraId="5D8012F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5FB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9FB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 cenę na 5 letni kontrakt serwisowy w standardzie 5* (z nielimitowanym także detektorem i lampą RTG) po zakończeniu gwarancji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A22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328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D4D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5DD96F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758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EBB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 trakcie trwania gwarancji wszystkie naprawy oraz przeglądy techniczne przewidziane przez producenta wraz z materiałami zużywanymi wykonywane na koszt Wykonawcy łącznie z dojazdem (nie rzadziej niż raz w każdym rozpoczętym roku udzielonej gwarancji)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FC9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1C0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C17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12C687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9BE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CC8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Gwarantowana dostępność części zamiennych przez min. 10 lat z wyłączeniem sprzętu IT; dla sprzętu IT przez min. 5 lat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283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AEC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CD0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2B6735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8E6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E88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Interwencja serwisu w ciągu 24h od zgłoszenia awarii w dni robocze w godzinach 8.00-21.00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289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DC2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010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4299FA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858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88D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Autoryzowane punkty serwisowe na terenie Polski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9E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(podać nazwę, adres, telefony kontaktowe)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2BD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92D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6719F3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414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338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Numer kontaktowy serwisu Wykonawcy, pod który można zgłaszać awarie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05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C83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B8C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0393E4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B56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1C8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Zdalna diagnostyka systemu z możliwością rejestracji i odczytu on-linerejestru błędów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FE5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3C8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B36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CC3A9D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E4A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04E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Szkolenie dla personelu z obsługi systemu, aplikacji, potwierdzone certyfikatami, co najmniej: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- 5 dni x 6 godz. po instalacji i uruchomieniu aparatu,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- 5 dni x 6 godz. w terminie późniejszym, uzgodnionym z użytkownikiem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2C4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59E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6A7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E867394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DAA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C17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Ochrona antywirusowa oprogramowania aparatu, zainstalowana na urządzeniu i systematycznie aktualizowana bez udziału użytkownika aparatu lub rozwiązanie oparte o mechanizm białych list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A2D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813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2CC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470CC696" w14:textId="77777777" w:rsidR="007B1E73" w:rsidRPr="007B1E73" w:rsidRDefault="007B1E73" w:rsidP="007B1E73">
      <w:pPr>
        <w:suppressAutoHyphens/>
        <w:autoSpaceDN w:val="0"/>
        <w:spacing w:after="200" w:line="276" w:lineRule="auto"/>
        <w:textAlignment w:val="baseline"/>
        <w:rPr>
          <w:rFonts w:ascii="Arial" w:eastAsia="Times New Roman" w:hAnsi="Arial" w:cs="Times New Roman"/>
          <w:noProof w:val="0"/>
          <w:kern w:val="3"/>
          <w:sz w:val="20"/>
          <w:szCs w:val="20"/>
          <w14:ligatures w14:val="none"/>
        </w:rPr>
      </w:pPr>
      <w:r w:rsidRPr="007B1E73">
        <w:rPr>
          <w:rFonts w:ascii="Arial" w:eastAsia="Times New Roman" w:hAnsi="Arial" w:cs="Times New Roman"/>
          <w:noProof w:val="0"/>
          <w:kern w:val="3"/>
          <w:sz w:val="20"/>
          <w:szCs w:val="20"/>
          <w14:ligatures w14:val="none"/>
        </w:rPr>
        <w:br/>
      </w:r>
    </w:p>
    <w:p w14:paraId="502B4FD1" w14:textId="77777777" w:rsidR="007B1E73" w:rsidRPr="007B1E73" w:rsidRDefault="007B1E73" w:rsidP="007B1E73">
      <w:pPr>
        <w:suppressAutoHyphens/>
        <w:autoSpaceDN w:val="0"/>
        <w:spacing w:after="200" w:line="276" w:lineRule="auto"/>
        <w:textAlignment w:val="baseline"/>
        <w:rPr>
          <w:rFonts w:ascii="Arial" w:eastAsia="Times New Roman" w:hAnsi="Arial" w:cs="Times New Roman"/>
          <w:b/>
          <w:bCs/>
          <w:noProof w:val="0"/>
          <w:kern w:val="3"/>
          <w:sz w:val="20"/>
          <w:szCs w:val="20"/>
          <w14:ligatures w14:val="none"/>
        </w:rPr>
      </w:pPr>
      <w:r w:rsidRPr="007B1E73">
        <w:rPr>
          <w:rFonts w:ascii="Arial" w:eastAsia="Times New Roman" w:hAnsi="Arial" w:cs="Times New Roman"/>
          <w:b/>
          <w:bCs/>
          <w:noProof w:val="0"/>
          <w:kern w:val="3"/>
          <w:sz w:val="20"/>
          <w:szCs w:val="20"/>
          <w14:ligatures w14:val="none"/>
        </w:rPr>
        <w:lastRenderedPageBreak/>
        <w:t>Zamawiający zwróci się do producenta PACS/Siemens oraz RIS/Esculap o przedstawienie kosztu integracji z posiadanym systemem informatycznym PACS/RIS i udostępni go oferentom.</w:t>
      </w:r>
    </w:p>
    <w:p w14:paraId="28A1F146" w14:textId="77777777" w:rsidR="007B1E73" w:rsidRPr="007B1E73" w:rsidRDefault="007B1E73" w:rsidP="007B1E73">
      <w:pPr>
        <w:suppressAutoHyphens/>
        <w:autoSpaceDN w:val="0"/>
        <w:spacing w:after="200" w:line="276" w:lineRule="auto"/>
        <w:textAlignment w:val="baseline"/>
        <w:rPr>
          <w:rFonts w:ascii="Arial" w:eastAsia="Times New Roman" w:hAnsi="Arial" w:cs="Times New Roman"/>
          <w:noProof w:val="0"/>
          <w:kern w:val="3"/>
          <w:sz w:val="20"/>
          <w:szCs w:val="20"/>
          <w14:ligatures w14:val="none"/>
        </w:rPr>
      </w:pPr>
      <w:r w:rsidRPr="007B1E73">
        <w:rPr>
          <w:rFonts w:ascii="Arial" w:eastAsia="Times New Roman" w:hAnsi="Arial" w:cs="Times New Roman"/>
          <w:b/>
          <w:bCs/>
          <w:noProof w:val="0"/>
          <w:kern w:val="3"/>
          <w:sz w:val="20"/>
          <w:szCs w:val="20"/>
          <w14:ligatures w14:val="none"/>
        </w:rPr>
        <w:t>Należy doliczyć wymianę szafy RACK oraz zakup dwóch przełączników sieciowych przełącznik z PoE.docx, Przełącznik bez PoE.docx)</w:t>
      </w:r>
      <w:bookmarkEnd w:id="0"/>
    </w:p>
    <w:p w14:paraId="67B1D6EE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2C8F53C2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Nazwa i typ: ...............................................................................</w:t>
      </w:r>
    </w:p>
    <w:p w14:paraId="118D1784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Producent / kraj produkcji: ........................................................</w:t>
      </w:r>
    </w:p>
    <w:p w14:paraId="6CCBD4DA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Rok produkcji (min. 2025</w:t>
      </w:r>
      <w:proofErr w:type="gramStart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):  …</w:t>
      </w:r>
      <w:proofErr w:type="gramEnd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....................................................</w:t>
      </w:r>
    </w:p>
    <w:p w14:paraId="62B1AE59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</w:p>
    <w:tbl>
      <w:tblPr>
        <w:tblW w:w="87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29"/>
      </w:tblGrid>
      <w:tr w:rsidR="007B1E73" w:rsidRPr="007B1E73" w14:paraId="5518A75C" w14:textId="77777777" w:rsidTr="002B5E29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6F9C" w14:textId="77777777" w:rsidR="007B1E73" w:rsidRPr="007B1E73" w:rsidRDefault="007B1E73" w:rsidP="007B1E73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B1E73"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  <w:t>PARAMETRY TECHNICZNE I EKSPLOATACYJNE</w:t>
            </w:r>
          </w:p>
        </w:tc>
      </w:tr>
    </w:tbl>
    <w:p w14:paraId="2DD95FA5" w14:textId="77777777" w:rsidR="007B1E73" w:rsidRPr="007B1E73" w:rsidRDefault="007B1E73" w:rsidP="007B1E7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  <w:t>WYKAZ PARAMETRÓW TECHNICZNYCH I UŻYTKOWYCH SZAFY RACK DLA PRACOWNI HEMODYNAMIKI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43"/>
        <w:gridCol w:w="6419"/>
      </w:tblGrid>
      <w:tr w:rsidR="007B1E73" w:rsidRPr="007B1E73" w14:paraId="22F1C9F4" w14:textId="77777777" w:rsidTr="002B5E29">
        <w:tc>
          <w:tcPr>
            <w:tcW w:w="2660" w:type="dxa"/>
            <w:vAlign w:val="center"/>
          </w:tcPr>
          <w:p w14:paraId="07371403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Rodzaj szafy</w:t>
            </w:r>
          </w:p>
        </w:tc>
        <w:tc>
          <w:tcPr>
            <w:tcW w:w="6552" w:type="dxa"/>
            <w:vAlign w:val="center"/>
          </w:tcPr>
          <w:p w14:paraId="67076D1C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Stojąca</w:t>
            </w:r>
          </w:p>
        </w:tc>
      </w:tr>
      <w:tr w:rsidR="007B1E73" w:rsidRPr="007B1E73" w14:paraId="4D3F409F" w14:textId="77777777" w:rsidTr="002B5E29">
        <w:tc>
          <w:tcPr>
            <w:tcW w:w="2660" w:type="dxa"/>
            <w:vAlign w:val="center"/>
          </w:tcPr>
          <w:p w14:paraId="30DD5601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Rozmiar</w:t>
            </w:r>
          </w:p>
        </w:tc>
        <w:tc>
          <w:tcPr>
            <w:tcW w:w="6552" w:type="dxa"/>
            <w:vAlign w:val="center"/>
          </w:tcPr>
          <w:p w14:paraId="36393F54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19"</w:t>
            </w:r>
          </w:p>
        </w:tc>
      </w:tr>
      <w:tr w:rsidR="007B1E73" w:rsidRPr="007B1E73" w14:paraId="1103A1B0" w14:textId="77777777" w:rsidTr="002B5E29">
        <w:tc>
          <w:tcPr>
            <w:tcW w:w="2660" w:type="dxa"/>
            <w:vAlign w:val="center"/>
          </w:tcPr>
          <w:p w14:paraId="0E9EFC11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Wysokość teleinformatyczna</w:t>
            </w:r>
          </w:p>
        </w:tc>
        <w:tc>
          <w:tcPr>
            <w:tcW w:w="6552" w:type="dxa"/>
            <w:vAlign w:val="center"/>
          </w:tcPr>
          <w:p w14:paraId="0438C5A9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42 U</w:t>
            </w:r>
          </w:p>
        </w:tc>
      </w:tr>
      <w:tr w:rsidR="007B1E73" w:rsidRPr="007B1E73" w14:paraId="4ABF7585" w14:textId="77777777" w:rsidTr="002B5E29">
        <w:tc>
          <w:tcPr>
            <w:tcW w:w="2660" w:type="dxa"/>
            <w:vAlign w:val="center"/>
          </w:tcPr>
          <w:p w14:paraId="535EA6BE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Głębokość montażowa</w:t>
            </w:r>
          </w:p>
        </w:tc>
        <w:tc>
          <w:tcPr>
            <w:tcW w:w="6552" w:type="dxa"/>
            <w:vAlign w:val="center"/>
          </w:tcPr>
          <w:p w14:paraId="712F9DA3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720 mm</w:t>
            </w:r>
          </w:p>
        </w:tc>
      </w:tr>
      <w:tr w:rsidR="007B1E73" w:rsidRPr="007B1E73" w14:paraId="4551CB26" w14:textId="77777777" w:rsidTr="002B5E29">
        <w:tc>
          <w:tcPr>
            <w:tcW w:w="2660" w:type="dxa"/>
            <w:vAlign w:val="center"/>
          </w:tcPr>
          <w:p w14:paraId="2E0C3A2C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Rodzaj drzwi przednich</w:t>
            </w:r>
          </w:p>
        </w:tc>
        <w:tc>
          <w:tcPr>
            <w:tcW w:w="6552" w:type="dxa"/>
            <w:vAlign w:val="center"/>
          </w:tcPr>
          <w:p w14:paraId="26206F12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Perforowane</w:t>
            </w:r>
          </w:p>
        </w:tc>
      </w:tr>
      <w:tr w:rsidR="007B1E73" w:rsidRPr="007B1E73" w14:paraId="55C0C9D2" w14:textId="77777777" w:rsidTr="002B5E29">
        <w:tc>
          <w:tcPr>
            <w:tcW w:w="2660" w:type="dxa"/>
            <w:vAlign w:val="center"/>
          </w:tcPr>
          <w:p w14:paraId="6DEB40D3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Rodzaj drzwi tylnych</w:t>
            </w:r>
          </w:p>
        </w:tc>
        <w:tc>
          <w:tcPr>
            <w:tcW w:w="6552" w:type="dxa"/>
            <w:vAlign w:val="center"/>
          </w:tcPr>
          <w:p w14:paraId="7522DE8D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Perforowane</w:t>
            </w:r>
          </w:p>
        </w:tc>
      </w:tr>
      <w:tr w:rsidR="007B1E73" w:rsidRPr="007B1E73" w14:paraId="7165B91B" w14:textId="77777777" w:rsidTr="002B5E29">
        <w:tc>
          <w:tcPr>
            <w:tcW w:w="2660" w:type="dxa"/>
            <w:vAlign w:val="center"/>
          </w:tcPr>
          <w:p w14:paraId="600B6E34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Typ drzwi</w:t>
            </w:r>
          </w:p>
        </w:tc>
        <w:tc>
          <w:tcPr>
            <w:tcW w:w="6552" w:type="dxa"/>
            <w:vAlign w:val="center"/>
          </w:tcPr>
          <w:p w14:paraId="318FB6D4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Jednoskrzydłowe</w:t>
            </w:r>
          </w:p>
        </w:tc>
      </w:tr>
      <w:tr w:rsidR="007B1E73" w:rsidRPr="007B1E73" w14:paraId="504E59BD" w14:textId="77777777" w:rsidTr="002B5E29">
        <w:tc>
          <w:tcPr>
            <w:tcW w:w="2660" w:type="dxa"/>
            <w:vAlign w:val="center"/>
          </w:tcPr>
          <w:p w14:paraId="667B35B2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Maksymalny kąt otwarcia drzwi przednich</w:t>
            </w:r>
          </w:p>
        </w:tc>
        <w:tc>
          <w:tcPr>
            <w:tcW w:w="6552" w:type="dxa"/>
            <w:vAlign w:val="center"/>
          </w:tcPr>
          <w:p w14:paraId="1FC7D54B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 210°</w:t>
            </w:r>
          </w:p>
        </w:tc>
      </w:tr>
      <w:tr w:rsidR="007B1E73" w:rsidRPr="007B1E73" w14:paraId="7FEDE1E8" w14:textId="77777777" w:rsidTr="002B5E29">
        <w:tc>
          <w:tcPr>
            <w:tcW w:w="2660" w:type="dxa"/>
            <w:vAlign w:val="center"/>
          </w:tcPr>
          <w:p w14:paraId="68D58A0A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Maksymalne statyczne obciążenie</w:t>
            </w:r>
          </w:p>
        </w:tc>
        <w:tc>
          <w:tcPr>
            <w:tcW w:w="6552" w:type="dxa"/>
            <w:vAlign w:val="center"/>
          </w:tcPr>
          <w:p w14:paraId="631D8E6D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1200 kg</w:t>
            </w:r>
          </w:p>
        </w:tc>
      </w:tr>
      <w:tr w:rsidR="007B1E73" w:rsidRPr="007B1E73" w14:paraId="78AE6394" w14:textId="77777777" w:rsidTr="002B5E29">
        <w:tc>
          <w:tcPr>
            <w:tcW w:w="2660" w:type="dxa"/>
            <w:vAlign w:val="center"/>
          </w:tcPr>
          <w:p w14:paraId="64007A37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Ilość miejsc na wentylatory</w:t>
            </w:r>
          </w:p>
        </w:tc>
        <w:tc>
          <w:tcPr>
            <w:tcW w:w="6552" w:type="dxa"/>
            <w:vAlign w:val="center"/>
          </w:tcPr>
          <w:p w14:paraId="015D706B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4</w:t>
            </w:r>
          </w:p>
        </w:tc>
      </w:tr>
      <w:tr w:rsidR="007B1E73" w:rsidRPr="007B1E73" w14:paraId="6F72C591" w14:textId="77777777" w:rsidTr="002B5E29">
        <w:tc>
          <w:tcPr>
            <w:tcW w:w="2660" w:type="dxa"/>
            <w:vAlign w:val="center"/>
          </w:tcPr>
          <w:p w14:paraId="552F1323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Ilość pionowych szyn</w:t>
            </w:r>
          </w:p>
        </w:tc>
        <w:tc>
          <w:tcPr>
            <w:tcW w:w="6552" w:type="dxa"/>
            <w:vAlign w:val="center"/>
          </w:tcPr>
          <w:p w14:paraId="09FDFA2A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4</w:t>
            </w:r>
          </w:p>
        </w:tc>
      </w:tr>
      <w:tr w:rsidR="007B1E73" w:rsidRPr="007B1E73" w14:paraId="260A60EF" w14:textId="77777777" w:rsidTr="002B5E29">
        <w:tc>
          <w:tcPr>
            <w:tcW w:w="2660" w:type="dxa"/>
            <w:vAlign w:val="center"/>
          </w:tcPr>
          <w:p w14:paraId="2112413E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Termostat</w:t>
            </w:r>
          </w:p>
        </w:tc>
        <w:tc>
          <w:tcPr>
            <w:tcW w:w="6552" w:type="dxa"/>
            <w:vAlign w:val="center"/>
          </w:tcPr>
          <w:p w14:paraId="545D9AD9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Tak</w:t>
            </w:r>
          </w:p>
        </w:tc>
      </w:tr>
      <w:tr w:rsidR="007B1E73" w:rsidRPr="007B1E73" w14:paraId="7CDB2B1B" w14:textId="77777777" w:rsidTr="002B5E29">
        <w:tc>
          <w:tcPr>
            <w:tcW w:w="2660" w:type="dxa"/>
            <w:vAlign w:val="center"/>
          </w:tcPr>
          <w:p w14:paraId="77356C17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Panel LCD</w:t>
            </w:r>
          </w:p>
        </w:tc>
        <w:tc>
          <w:tcPr>
            <w:tcW w:w="6552" w:type="dxa"/>
            <w:vAlign w:val="center"/>
          </w:tcPr>
          <w:p w14:paraId="5780A232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Tak, umożliwiający sterowaniem wentylatorami</w:t>
            </w:r>
          </w:p>
        </w:tc>
      </w:tr>
      <w:tr w:rsidR="007B1E73" w:rsidRPr="007B1E73" w14:paraId="18F1EAC9" w14:textId="77777777" w:rsidTr="002B5E29">
        <w:tc>
          <w:tcPr>
            <w:tcW w:w="2660" w:type="dxa"/>
            <w:vAlign w:val="center"/>
          </w:tcPr>
          <w:p w14:paraId="7F11ADEE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6552" w:type="dxa"/>
            <w:vAlign w:val="center"/>
          </w:tcPr>
          <w:p w14:paraId="644A7EDE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RAL9004</w:t>
            </w:r>
          </w:p>
        </w:tc>
      </w:tr>
      <w:tr w:rsidR="007B1E73" w:rsidRPr="007B1E73" w14:paraId="1179AB14" w14:textId="77777777" w:rsidTr="002B5E29">
        <w:tc>
          <w:tcPr>
            <w:tcW w:w="2660" w:type="dxa"/>
            <w:vAlign w:val="center"/>
          </w:tcPr>
          <w:p w14:paraId="13C8D639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Klasa szczelności</w:t>
            </w:r>
          </w:p>
        </w:tc>
        <w:tc>
          <w:tcPr>
            <w:tcW w:w="6552" w:type="dxa"/>
            <w:vAlign w:val="center"/>
          </w:tcPr>
          <w:p w14:paraId="1ACEFAD6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IP20</w:t>
            </w:r>
          </w:p>
        </w:tc>
      </w:tr>
      <w:tr w:rsidR="007B1E73" w:rsidRPr="007B1E73" w14:paraId="58D7F56D" w14:textId="77777777" w:rsidTr="002B5E29">
        <w:tc>
          <w:tcPr>
            <w:tcW w:w="2660" w:type="dxa"/>
            <w:vAlign w:val="center"/>
          </w:tcPr>
          <w:p w14:paraId="03A4CEC0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Grubość drzwi przednich</w:t>
            </w:r>
          </w:p>
        </w:tc>
        <w:tc>
          <w:tcPr>
            <w:tcW w:w="6552" w:type="dxa"/>
            <w:vAlign w:val="center"/>
          </w:tcPr>
          <w:p w14:paraId="649C3CDE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1,2 mm</w:t>
            </w:r>
          </w:p>
        </w:tc>
      </w:tr>
      <w:tr w:rsidR="007B1E73" w:rsidRPr="007B1E73" w14:paraId="442335B8" w14:textId="77777777" w:rsidTr="002B5E29">
        <w:tc>
          <w:tcPr>
            <w:tcW w:w="2660" w:type="dxa"/>
            <w:vAlign w:val="center"/>
          </w:tcPr>
          <w:p w14:paraId="6FEF3C33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Grubość drzwi tylnych</w:t>
            </w:r>
          </w:p>
        </w:tc>
        <w:tc>
          <w:tcPr>
            <w:tcW w:w="6552" w:type="dxa"/>
            <w:vAlign w:val="center"/>
          </w:tcPr>
          <w:p w14:paraId="47E5560E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1,2 mm</w:t>
            </w:r>
          </w:p>
        </w:tc>
      </w:tr>
      <w:tr w:rsidR="007B1E73" w:rsidRPr="007B1E73" w14:paraId="6B816534" w14:textId="77777777" w:rsidTr="002B5E29">
        <w:tc>
          <w:tcPr>
            <w:tcW w:w="2660" w:type="dxa"/>
            <w:vAlign w:val="center"/>
          </w:tcPr>
          <w:p w14:paraId="15D0BD7F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Grubość górnego i dolnego panelu</w:t>
            </w:r>
          </w:p>
        </w:tc>
        <w:tc>
          <w:tcPr>
            <w:tcW w:w="6552" w:type="dxa"/>
            <w:vAlign w:val="center"/>
          </w:tcPr>
          <w:p w14:paraId="040268F6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1,5 mm</w:t>
            </w:r>
          </w:p>
        </w:tc>
      </w:tr>
      <w:tr w:rsidR="007B1E73" w:rsidRPr="007B1E73" w14:paraId="77574925" w14:textId="77777777" w:rsidTr="002B5E29">
        <w:tc>
          <w:tcPr>
            <w:tcW w:w="2660" w:type="dxa"/>
            <w:vAlign w:val="center"/>
          </w:tcPr>
          <w:p w14:paraId="5E1472CD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Grubość bocznego panelu</w:t>
            </w:r>
          </w:p>
        </w:tc>
        <w:tc>
          <w:tcPr>
            <w:tcW w:w="6552" w:type="dxa"/>
            <w:vAlign w:val="center"/>
          </w:tcPr>
          <w:p w14:paraId="51850680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1,2 mm</w:t>
            </w:r>
          </w:p>
        </w:tc>
      </w:tr>
      <w:tr w:rsidR="007B1E73" w:rsidRPr="007B1E73" w14:paraId="66DFC610" w14:textId="77777777" w:rsidTr="002B5E29">
        <w:tc>
          <w:tcPr>
            <w:tcW w:w="2660" w:type="dxa"/>
            <w:vAlign w:val="center"/>
          </w:tcPr>
          <w:p w14:paraId="6A9DF8D0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Grubość szyn montażowych</w:t>
            </w:r>
          </w:p>
        </w:tc>
        <w:tc>
          <w:tcPr>
            <w:tcW w:w="6552" w:type="dxa"/>
            <w:vAlign w:val="center"/>
          </w:tcPr>
          <w:p w14:paraId="495F44D0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2 mm</w:t>
            </w:r>
          </w:p>
        </w:tc>
      </w:tr>
      <w:tr w:rsidR="007B1E73" w:rsidRPr="007B1E73" w14:paraId="72AA44E0" w14:textId="77777777" w:rsidTr="002B5E29">
        <w:tc>
          <w:tcPr>
            <w:tcW w:w="2660" w:type="dxa"/>
            <w:vAlign w:val="center"/>
          </w:tcPr>
          <w:p w14:paraId="31BE403C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lastRenderedPageBreak/>
              <w:t>Grubość ramy</w:t>
            </w:r>
          </w:p>
        </w:tc>
        <w:tc>
          <w:tcPr>
            <w:tcW w:w="6552" w:type="dxa"/>
            <w:vAlign w:val="center"/>
          </w:tcPr>
          <w:p w14:paraId="6AB31144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1,5 mm</w:t>
            </w:r>
          </w:p>
        </w:tc>
      </w:tr>
      <w:tr w:rsidR="007B1E73" w:rsidRPr="007B1E73" w14:paraId="2585AD69" w14:textId="77777777" w:rsidTr="002B5E29">
        <w:tc>
          <w:tcPr>
            <w:tcW w:w="2660" w:type="dxa"/>
            <w:vAlign w:val="center"/>
          </w:tcPr>
          <w:p w14:paraId="09214A27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Grubość pozostałych elementów</w:t>
            </w:r>
          </w:p>
        </w:tc>
        <w:tc>
          <w:tcPr>
            <w:tcW w:w="6552" w:type="dxa"/>
            <w:vAlign w:val="center"/>
          </w:tcPr>
          <w:p w14:paraId="5D26688C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1,5 mm</w:t>
            </w:r>
          </w:p>
        </w:tc>
      </w:tr>
      <w:tr w:rsidR="007B1E73" w:rsidRPr="007B1E73" w14:paraId="5F380050" w14:textId="77777777" w:rsidTr="002B5E29">
        <w:tc>
          <w:tcPr>
            <w:tcW w:w="2660" w:type="dxa"/>
            <w:vAlign w:val="center"/>
          </w:tcPr>
          <w:p w14:paraId="145A53DD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Głębokość</w:t>
            </w:r>
          </w:p>
        </w:tc>
        <w:tc>
          <w:tcPr>
            <w:tcW w:w="6552" w:type="dxa"/>
            <w:vAlign w:val="center"/>
          </w:tcPr>
          <w:p w14:paraId="684FFA08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800 mm</w:t>
            </w:r>
          </w:p>
        </w:tc>
      </w:tr>
      <w:tr w:rsidR="007B1E73" w:rsidRPr="007B1E73" w14:paraId="2943282D" w14:textId="77777777" w:rsidTr="002B5E29">
        <w:tc>
          <w:tcPr>
            <w:tcW w:w="2660" w:type="dxa"/>
            <w:vAlign w:val="center"/>
          </w:tcPr>
          <w:p w14:paraId="0270DD20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Szerokość</w:t>
            </w:r>
          </w:p>
        </w:tc>
        <w:tc>
          <w:tcPr>
            <w:tcW w:w="6552" w:type="dxa"/>
            <w:vAlign w:val="center"/>
          </w:tcPr>
          <w:p w14:paraId="3EDFC2DB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600 mm</w:t>
            </w:r>
          </w:p>
        </w:tc>
      </w:tr>
      <w:tr w:rsidR="007B1E73" w:rsidRPr="007B1E73" w14:paraId="6D3F3A87" w14:textId="77777777" w:rsidTr="002B5E29">
        <w:tc>
          <w:tcPr>
            <w:tcW w:w="2660" w:type="dxa"/>
            <w:vAlign w:val="center"/>
          </w:tcPr>
          <w:p w14:paraId="1068FDF3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Wysokość</w:t>
            </w:r>
          </w:p>
        </w:tc>
        <w:tc>
          <w:tcPr>
            <w:tcW w:w="6552" w:type="dxa"/>
            <w:vAlign w:val="center"/>
          </w:tcPr>
          <w:p w14:paraId="26E2FE37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Maks. 2150 mm</w:t>
            </w:r>
          </w:p>
        </w:tc>
      </w:tr>
      <w:tr w:rsidR="007B1E73" w:rsidRPr="007B1E73" w14:paraId="14677113" w14:textId="77777777" w:rsidTr="002B5E29">
        <w:tc>
          <w:tcPr>
            <w:tcW w:w="2660" w:type="dxa"/>
            <w:vAlign w:val="center"/>
          </w:tcPr>
          <w:p w14:paraId="2DB52FE0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Wysokość bez kółek</w:t>
            </w:r>
          </w:p>
        </w:tc>
        <w:tc>
          <w:tcPr>
            <w:tcW w:w="6552" w:type="dxa"/>
            <w:vAlign w:val="center"/>
          </w:tcPr>
          <w:p w14:paraId="1AFA6E55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Maks. 2050 mm</w:t>
            </w:r>
          </w:p>
        </w:tc>
      </w:tr>
      <w:tr w:rsidR="007B1E73" w:rsidRPr="007B1E73" w14:paraId="7CCB205F" w14:textId="77777777" w:rsidTr="002B5E29">
        <w:tc>
          <w:tcPr>
            <w:tcW w:w="2660" w:type="dxa"/>
            <w:vAlign w:val="center"/>
          </w:tcPr>
          <w:p w14:paraId="5F69903C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6552" w:type="dxa"/>
            <w:vAlign w:val="center"/>
          </w:tcPr>
          <w:p w14:paraId="6FCF3FAF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Maks. 95 kg</w:t>
            </w:r>
          </w:p>
        </w:tc>
      </w:tr>
      <w:tr w:rsidR="007B1E73" w:rsidRPr="007B1E73" w14:paraId="0D3D96FC" w14:textId="77777777" w:rsidTr="002B5E29">
        <w:tc>
          <w:tcPr>
            <w:tcW w:w="2660" w:type="dxa"/>
            <w:vAlign w:val="center"/>
          </w:tcPr>
          <w:p w14:paraId="17A5C9D6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Standard</w:t>
            </w:r>
          </w:p>
        </w:tc>
        <w:tc>
          <w:tcPr>
            <w:tcW w:w="6552" w:type="dxa"/>
            <w:vAlign w:val="center"/>
          </w:tcPr>
          <w:p w14:paraId="4E3CCAD1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ANSI/EIA RS-310-D, DIN 41491/PART 1, DIN 41494/PART 7, ETSI, IEC297-2:1982</w:t>
            </w:r>
          </w:p>
        </w:tc>
      </w:tr>
      <w:tr w:rsidR="007B1E73" w:rsidRPr="007B1E73" w14:paraId="4D58A95E" w14:textId="77777777" w:rsidTr="002B5E29">
        <w:tc>
          <w:tcPr>
            <w:tcW w:w="2660" w:type="dxa"/>
            <w:vAlign w:val="center"/>
          </w:tcPr>
          <w:p w14:paraId="0ED5F9F9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Szczegóły uziemienia</w:t>
            </w:r>
          </w:p>
        </w:tc>
        <w:tc>
          <w:tcPr>
            <w:tcW w:w="6552" w:type="dxa"/>
            <w:vAlign w:val="center"/>
          </w:tcPr>
          <w:p w14:paraId="41E37051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Drzwi przednie, Drzwi tylne, Rama</w:t>
            </w:r>
          </w:p>
        </w:tc>
      </w:tr>
      <w:tr w:rsidR="007B1E73" w:rsidRPr="007B1E73" w14:paraId="05B120C4" w14:textId="77777777" w:rsidTr="002B5E29">
        <w:tc>
          <w:tcPr>
            <w:tcW w:w="2660" w:type="dxa"/>
            <w:vAlign w:val="center"/>
          </w:tcPr>
          <w:p w14:paraId="5D666219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Akcesoria w zestawie</w:t>
            </w:r>
          </w:p>
        </w:tc>
        <w:tc>
          <w:tcPr>
            <w:tcW w:w="6552" w:type="dxa"/>
            <w:vAlign w:val="center"/>
          </w:tcPr>
          <w:p w14:paraId="3BCE48F3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Kółka z hamulcem,</w:t>
            </w:r>
          </w:p>
          <w:p w14:paraId="73D17362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Nóżki,</w:t>
            </w:r>
          </w:p>
          <w:p w14:paraId="45446007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Panel wentylacyjny (min. 4 wentylatory),</w:t>
            </w:r>
          </w:p>
          <w:p w14:paraId="6B24B5E5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 xml:space="preserve">Śruby montażowe do szaf rack </w:t>
            </w:r>
            <w:proofErr w:type="gramStart"/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M6,</w:t>
            </w:r>
            <w:proofErr w:type="gramEnd"/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 xml:space="preserve"> - min. 16 zestawów</w:t>
            </w:r>
          </w:p>
          <w:p w14:paraId="7A630BB9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Termostat,</w:t>
            </w:r>
          </w:p>
          <w:p w14:paraId="44C5AA06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Zamek przedni, Zamek tylny, Zamki boczne,</w:t>
            </w:r>
          </w:p>
          <w:p w14:paraId="6E187EB8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Listwa z włącznikiem PDU 19” 16A z automatycznym bezpiecznikiem i zabezpieczeniem przeciwprzepięciowym wyposażona w min. 5 gniazd Typ E z wtykiem IEC C14 – min. 2 szt.</w:t>
            </w:r>
          </w:p>
          <w:p w14:paraId="3CC2512E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Listwa z włącznikiem PDU 19” 16A z automatycznym bezpiecznikiem i zabezpieczeniem przeciwprzepięciowym wyposażona w min. 5 gniazd Typ E z wtykiem Uni-</w:t>
            </w:r>
            <w:proofErr w:type="gramStart"/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schuko  –</w:t>
            </w:r>
            <w:proofErr w:type="gramEnd"/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 xml:space="preserve"> min. 2 szt.</w:t>
            </w:r>
          </w:p>
        </w:tc>
      </w:tr>
    </w:tbl>
    <w:p w14:paraId="7742A484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52AE4753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02F3203C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4428528C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59F399E7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716429FA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2AAB4DB7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643B40D0" w14:textId="77777777" w:rsid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751658FF" w14:textId="77777777" w:rsid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4B0F526F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503244CD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Nazwa i typ: ...............................................................................</w:t>
      </w:r>
    </w:p>
    <w:p w14:paraId="33865320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Producent / kraj produkcji: ........................................................</w:t>
      </w:r>
    </w:p>
    <w:p w14:paraId="432FC69F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Rok produkcji (min. 2025</w:t>
      </w:r>
      <w:proofErr w:type="gramStart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):  …</w:t>
      </w:r>
      <w:proofErr w:type="gramEnd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....................................................</w:t>
      </w: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54"/>
      </w:tblGrid>
      <w:tr w:rsidR="007B1E73" w:rsidRPr="007B1E73" w14:paraId="26A4ADD6" w14:textId="77777777" w:rsidTr="002B5E29"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8CFE" w14:textId="77777777" w:rsidR="007B1E73" w:rsidRPr="007B1E73" w:rsidRDefault="007B1E73" w:rsidP="007B1E73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B1E73"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  <w:t>PARAMETRY TECHNICZNE I EKSPLOATACYJNE</w:t>
            </w:r>
          </w:p>
        </w:tc>
      </w:tr>
    </w:tbl>
    <w:p w14:paraId="16ADC21D" w14:textId="77777777" w:rsidR="007B1E73" w:rsidRPr="007B1E73" w:rsidRDefault="007B1E73" w:rsidP="007B1E7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  <w:t>WYKAZ PARAMETRÓW TECHNICZNYCH I UŻYTKOWYCH PRZEŁĄCZNIK BEZ POE DLA PRACOWNI HEMODYNAMIKI</w:t>
      </w:r>
    </w:p>
    <w:p w14:paraId="22FC7E12" w14:textId="77777777" w:rsidR="007B1E73" w:rsidRPr="007B1E73" w:rsidRDefault="007B1E73" w:rsidP="007B1E7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</w:pPr>
    </w:p>
    <w:p w14:paraId="4B7D4078" w14:textId="77777777" w:rsidR="007B1E73" w:rsidRPr="007B1E73" w:rsidRDefault="007B1E73" w:rsidP="007B1E7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</w:pPr>
    </w:p>
    <w:tbl>
      <w:tblPr>
        <w:tblStyle w:val="Tabela-Siatka21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6173"/>
      </w:tblGrid>
      <w:tr w:rsidR="007B1E73" w:rsidRPr="007B1E73" w14:paraId="647696B6" w14:textId="77777777" w:rsidTr="002B5E29">
        <w:trPr>
          <w:jc w:val="center"/>
        </w:trPr>
        <w:tc>
          <w:tcPr>
            <w:tcW w:w="2223" w:type="dxa"/>
          </w:tcPr>
          <w:p w14:paraId="1F1F23D2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lastRenderedPageBreak/>
              <w:t>Wymagania podstawowe</w:t>
            </w:r>
          </w:p>
        </w:tc>
        <w:tc>
          <w:tcPr>
            <w:tcW w:w="6974" w:type="dxa"/>
          </w:tcPr>
          <w:p w14:paraId="08ADFC2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do sieci LAN w metalowej obudowie</w:t>
            </w:r>
          </w:p>
          <w:p w14:paraId="15AFBF09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Wysokość urządzenia 1U - montaż w standardowej szafie 19"</w:t>
            </w:r>
          </w:p>
          <w:p w14:paraId="124085B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wyposażony w dwa wymienne zasilacze AC 230V</w:t>
            </w:r>
          </w:p>
          <w:p w14:paraId="5055FE2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Zasilacze muszą mieć możliwość wymiany w trakcie pracy przełącznika (Hot-swap)</w:t>
            </w:r>
          </w:p>
          <w:p w14:paraId="0E047EC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Wentylatory wymienne w czasie pracy (Hot Swap)</w:t>
            </w:r>
          </w:p>
          <w:p w14:paraId="5D816DB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wyposażony w min.:</w:t>
            </w:r>
          </w:p>
          <w:p w14:paraId="495BE1BF" w14:textId="77777777" w:rsidR="007B1E73" w:rsidRPr="007B1E73" w:rsidRDefault="007B1E73" w:rsidP="007B1E73">
            <w:pPr>
              <w:numPr>
                <w:ilvl w:val="0"/>
                <w:numId w:val="17"/>
              </w:numPr>
              <w:tabs>
                <w:tab w:val="left" w:pos="851"/>
              </w:tabs>
              <w:spacing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48 portów 10/100/1000BASE-T</w:t>
            </w:r>
          </w:p>
          <w:p w14:paraId="64F0406A" w14:textId="77777777" w:rsidR="007B1E73" w:rsidRPr="007B1E73" w:rsidRDefault="007B1E73" w:rsidP="007B1E73">
            <w:pPr>
              <w:numPr>
                <w:ilvl w:val="0"/>
                <w:numId w:val="17"/>
              </w:numPr>
              <w:tabs>
                <w:tab w:val="left" w:pos="851"/>
              </w:tabs>
              <w:spacing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4 porty SFP28 1/10/25G</w:t>
            </w:r>
          </w:p>
          <w:p w14:paraId="6FE40F2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Porty 10/100/1000BASE-T muszą pracować w trybie Full/Half Duplex </w:t>
            </w:r>
          </w:p>
          <w:p w14:paraId="1B26338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wspierać IEEE 802.3az Energy Efficient Ethernet</w:t>
            </w:r>
          </w:p>
          <w:p w14:paraId="23943663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wspierać obsługę diagnostyki wkładek SFP/SFP+/SFP28</w:t>
            </w:r>
          </w:p>
          <w:p w14:paraId="07F7341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Wszystkie porty muszą być aktywne i zgodne z wymaganiami co do prędkości i liczby portów</w:t>
            </w:r>
          </w:p>
          <w:p w14:paraId="3196B5D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posiadać możliwość łączenia do 8 przełączników w stos</w:t>
            </w:r>
          </w:p>
          <w:p w14:paraId="7DCBD91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Przepustowość stosu min. 80 Gb/s</w:t>
            </w:r>
          </w:p>
          <w:p w14:paraId="10553B1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budowy stosu za pomocą portów 10G SFP+</w:t>
            </w:r>
          </w:p>
          <w:p w14:paraId="30C82663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Dedykowane 2 porty do budowy stosu przełączników</w:t>
            </w:r>
          </w:p>
          <w:p w14:paraId="09757FA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Stos musi zachowywać się jako jedno urządzenie logiczne, a w szczególności musi mieć możliwość bezpośredniej konfiguracji wszystkich fizycznych portów dostępnych na przełącznikach połączonych w stos, oraz posiadać jeden adres IP w celu zarządzania stosem</w:t>
            </w:r>
          </w:p>
          <w:p w14:paraId="7BAFF64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Nieblokująca architektura o wydajności przełączania min. 376 Gb/s</w:t>
            </w:r>
          </w:p>
          <w:p w14:paraId="2887C0E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Szybkość przełączania: 279.7 Mp/s</w:t>
            </w:r>
          </w:p>
          <w:p w14:paraId="7AFF75D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Zakres temperatury pracy przełącznika: 0 - 50 stopni C</w:t>
            </w:r>
          </w:p>
          <w:p w14:paraId="3558ADD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Pamięć operacyjna: min. 1 GB pamięci DRAM</w:t>
            </w:r>
          </w:p>
          <w:p w14:paraId="2612114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Pamięć flash: min. 1 GB pamięci Flash</w:t>
            </w:r>
          </w:p>
          <w:p w14:paraId="1E2ED560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Dedykowany port konsoli szeregowej RS-232 (RJ45)</w:t>
            </w:r>
          </w:p>
          <w:p w14:paraId="05BC76E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wyposażony w modularny system operacyjny z ochroną pamięci, procesów oraz zasobów procesora</w:t>
            </w:r>
          </w:p>
          <w:p w14:paraId="2A2A4A2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instalacji min. dwóch wersji oprogramowania - firmware</w:t>
            </w:r>
          </w:p>
          <w:p w14:paraId="336B393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przechowywania min. 10 wersji konfiguracji w plikach tekstowych w pamięci Flash</w:t>
            </w:r>
          </w:p>
          <w:p w14:paraId="337DFF2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monitorowania zajętości CPU</w:t>
            </w:r>
          </w:p>
          <w:p w14:paraId="03B1E8F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monitorowania zajętości pamięci</w:t>
            </w:r>
          </w:p>
          <w:p w14:paraId="5B42F9E3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lastRenderedPageBreak/>
              <w:t>Wsparcie mirroringu ruchu</w:t>
            </w:r>
          </w:p>
          <w:p w14:paraId="33794F1C" w14:textId="77777777" w:rsidR="007B1E73" w:rsidRPr="007B1E73" w:rsidRDefault="007B1E73" w:rsidP="007B1E73">
            <w:pPr>
              <w:numPr>
                <w:ilvl w:val="0"/>
                <w:numId w:val="1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Lokalny mirroring na przełączniku </w:t>
            </w:r>
          </w:p>
          <w:p w14:paraId="4FDCB040" w14:textId="77777777" w:rsidR="007B1E73" w:rsidRPr="007B1E73" w:rsidRDefault="007B1E73" w:rsidP="007B1E73">
            <w:pPr>
              <w:numPr>
                <w:ilvl w:val="0"/>
                <w:numId w:val="1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Zdalny mirroring </w:t>
            </w:r>
          </w:p>
          <w:p w14:paraId="6062613D" w14:textId="77777777" w:rsidR="007B1E73" w:rsidRPr="007B1E73" w:rsidRDefault="007B1E73" w:rsidP="007B1E73">
            <w:pPr>
              <w:numPr>
                <w:ilvl w:val="0"/>
                <w:numId w:val="1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Zdalny mirroring do wskazanego adresu IP poprzez tunel - np. GRE</w:t>
            </w:r>
          </w:p>
          <w:p w14:paraId="393940C5" w14:textId="77777777" w:rsidR="007B1E73" w:rsidRPr="007B1E73" w:rsidRDefault="007B1E73" w:rsidP="007B1E73">
            <w:pPr>
              <w:numPr>
                <w:ilvl w:val="0"/>
                <w:numId w:val="1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mirroringu ruchu wybranego za pomocą listy kontroli dostępu ACL</w:t>
            </w:r>
          </w:p>
        </w:tc>
      </w:tr>
      <w:tr w:rsidR="007B1E73" w:rsidRPr="007B1E73" w14:paraId="18C09AF7" w14:textId="77777777" w:rsidTr="002B5E29">
        <w:trPr>
          <w:jc w:val="center"/>
        </w:trPr>
        <w:tc>
          <w:tcPr>
            <w:tcW w:w="2223" w:type="dxa"/>
          </w:tcPr>
          <w:p w14:paraId="3480B975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lastRenderedPageBreak/>
              <w:t>Funkcje L2 przełącznika</w:t>
            </w:r>
          </w:p>
        </w:tc>
        <w:tc>
          <w:tcPr>
            <w:tcW w:w="6974" w:type="dxa"/>
          </w:tcPr>
          <w:p w14:paraId="4957823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Tablica MAC adresów min. 64 tys.</w:t>
            </w:r>
          </w:p>
          <w:p w14:paraId="3D2B411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sieci wirtualnych IEEE 802.1Q - min. 4 tys.</w:t>
            </w:r>
          </w:p>
          <w:p w14:paraId="3F6DB3C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funkcjonalności Private VLAN - blokowanie ruchu pomiędzy klientami z umożliwieniem łączności do wspólnych zasobów sieciowych</w:t>
            </w:r>
          </w:p>
          <w:p w14:paraId="6E979723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Wsparcie dla ramek Jumbo Frames (min. 9216 bajtów)</w:t>
            </w:r>
          </w:p>
          <w:p w14:paraId="488E077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min. 64 instancji MSTP</w:t>
            </w:r>
          </w:p>
          <w:p w14:paraId="0BC1FDE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Link Aggregation IEEE 802.3ad wraz z LACP</w:t>
            </w:r>
          </w:p>
          <w:p w14:paraId="2C378428" w14:textId="77777777" w:rsidR="007B1E73" w:rsidRPr="007B1E73" w:rsidRDefault="007B1E73" w:rsidP="007B1E73">
            <w:pPr>
              <w:numPr>
                <w:ilvl w:val="0"/>
                <w:numId w:val="19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min. 128 grup łączy typu Link Aggregation</w:t>
            </w:r>
          </w:p>
          <w:p w14:paraId="68D5AD33" w14:textId="77777777" w:rsidR="007B1E73" w:rsidRPr="007B1E73" w:rsidRDefault="007B1E73" w:rsidP="007B1E73">
            <w:pPr>
              <w:numPr>
                <w:ilvl w:val="0"/>
                <w:numId w:val="19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umożliwiająca zgrupowanie min. 8 portów</w:t>
            </w:r>
          </w:p>
          <w:p w14:paraId="68625FF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Obsługa MLAG (Multi Chassis Link Aggregation) </w:t>
            </w:r>
          </w:p>
          <w:p w14:paraId="210913F3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protokołu EAPS - RFC 3619</w:t>
            </w:r>
          </w:p>
          <w:p w14:paraId="744F1D1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protokołu ERPS / G.8032</w:t>
            </w:r>
          </w:p>
          <w:p w14:paraId="1A1C67C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Quality of Service</w:t>
            </w:r>
          </w:p>
          <w:p w14:paraId="4EC533F3" w14:textId="77777777" w:rsidR="007B1E73" w:rsidRPr="007B1E73" w:rsidRDefault="007B1E73" w:rsidP="007B1E73">
            <w:pPr>
              <w:numPr>
                <w:ilvl w:val="0"/>
                <w:numId w:val="2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Rozpoznawanie i realizacja priorytetów ustawionych w ramach IEEE 802.1p</w:t>
            </w:r>
          </w:p>
          <w:p w14:paraId="7E66CD23" w14:textId="77777777" w:rsidR="007B1E73" w:rsidRPr="007B1E73" w:rsidRDefault="007B1E73" w:rsidP="007B1E73">
            <w:pPr>
              <w:numPr>
                <w:ilvl w:val="0"/>
                <w:numId w:val="2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Rozpoznawanie i realizacja priorytetów ustawionych w ramach DiffServ</w:t>
            </w:r>
          </w:p>
          <w:p w14:paraId="48D8AC14" w14:textId="77777777" w:rsidR="007B1E73" w:rsidRPr="007B1E73" w:rsidRDefault="007B1E73" w:rsidP="007B1E73">
            <w:pPr>
              <w:numPr>
                <w:ilvl w:val="0"/>
                <w:numId w:val="2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8 kolejek priorytetów na każdym porcie wyjściowym</w:t>
            </w:r>
          </w:p>
          <w:p w14:paraId="3B4E588D" w14:textId="77777777" w:rsidR="007B1E73" w:rsidRPr="007B1E73" w:rsidRDefault="007B1E73" w:rsidP="007B1E73">
            <w:pPr>
              <w:numPr>
                <w:ilvl w:val="0"/>
                <w:numId w:val="2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kolejek Strict Priority</w:t>
            </w:r>
          </w:p>
          <w:p w14:paraId="47A7F888" w14:textId="77777777" w:rsidR="007B1E73" w:rsidRPr="007B1E73" w:rsidRDefault="007B1E73" w:rsidP="007B1E73">
            <w:pPr>
              <w:numPr>
                <w:ilvl w:val="0"/>
                <w:numId w:val="2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kolejek Weighted Round Robin</w:t>
            </w:r>
          </w:p>
          <w:p w14:paraId="11F6550C" w14:textId="77777777" w:rsidR="007B1E73" w:rsidRPr="007B1E73" w:rsidRDefault="007B1E73" w:rsidP="007B1E73">
            <w:pPr>
              <w:numPr>
                <w:ilvl w:val="0"/>
                <w:numId w:val="2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WRED (Weighted Random Early Detection)</w:t>
            </w:r>
          </w:p>
          <w:p w14:paraId="3229667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Link Aggregation Discovery Protocol LLDP IEEE 802.1AB</w:t>
            </w:r>
          </w:p>
          <w:p w14:paraId="794C59B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LLDP Media Endpoint Discovery (LLDP-MED)</w:t>
            </w:r>
          </w:p>
          <w:p w14:paraId="011A98B3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CDPv1 oraz CDPv2</w:t>
            </w:r>
          </w:p>
          <w:p w14:paraId="7460CEF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posiadać obsługę AVB (Audio Video Bridging)</w:t>
            </w:r>
          </w:p>
          <w:p w14:paraId="40F1901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Kontrola sztormów:</w:t>
            </w:r>
          </w:p>
          <w:p w14:paraId="0E3168A6" w14:textId="77777777" w:rsidR="007B1E73" w:rsidRPr="007B1E73" w:rsidRDefault="007B1E73" w:rsidP="007B1E73">
            <w:pPr>
              <w:numPr>
                <w:ilvl w:val="0"/>
                <w:numId w:val="21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ograniczenia liczby pakietów Multicast na porcie</w:t>
            </w:r>
          </w:p>
          <w:p w14:paraId="188854D1" w14:textId="77777777" w:rsidR="007B1E73" w:rsidRPr="007B1E73" w:rsidRDefault="007B1E73" w:rsidP="007B1E73">
            <w:pPr>
              <w:numPr>
                <w:ilvl w:val="0"/>
                <w:numId w:val="21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ograniczenia liczby pakietów Broadcast na porcie</w:t>
            </w:r>
          </w:p>
          <w:p w14:paraId="412A855B" w14:textId="77777777" w:rsidR="007B1E73" w:rsidRPr="007B1E73" w:rsidRDefault="007B1E73" w:rsidP="007B1E73">
            <w:pPr>
              <w:numPr>
                <w:ilvl w:val="0"/>
                <w:numId w:val="21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ograniczenia liczby pakietów Unknown Unicast na porcie</w:t>
            </w:r>
          </w:p>
          <w:p w14:paraId="174ACD1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wspierać mechanizm zabezpieczenia przed pętlami inny niż STP</w:t>
            </w:r>
          </w:p>
          <w:p w14:paraId="2BAA23A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Wsparcie DCB (Data Center Bridging):</w:t>
            </w:r>
          </w:p>
          <w:p w14:paraId="392677AA" w14:textId="77777777" w:rsidR="007B1E73" w:rsidRPr="007B1E73" w:rsidRDefault="007B1E73" w:rsidP="007B1E73">
            <w:pPr>
              <w:numPr>
                <w:ilvl w:val="0"/>
                <w:numId w:val="22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DCBX - Data Center Bridging eXchange</w:t>
            </w:r>
          </w:p>
          <w:p w14:paraId="13C97EDD" w14:textId="77777777" w:rsidR="007B1E73" w:rsidRPr="007B1E73" w:rsidRDefault="007B1E73" w:rsidP="007B1E73">
            <w:pPr>
              <w:numPr>
                <w:ilvl w:val="0"/>
                <w:numId w:val="22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PFC - Priority-based Flow Control</w:t>
            </w:r>
          </w:p>
          <w:p w14:paraId="3414B06A" w14:textId="77777777" w:rsidR="007B1E73" w:rsidRPr="007B1E73" w:rsidRDefault="007B1E73" w:rsidP="007B1E73">
            <w:pPr>
              <w:numPr>
                <w:ilvl w:val="0"/>
                <w:numId w:val="22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ETS - Enhanced Transmission Selection</w:t>
            </w:r>
          </w:p>
        </w:tc>
      </w:tr>
      <w:tr w:rsidR="007B1E73" w:rsidRPr="007B1E73" w14:paraId="5C90B93C" w14:textId="77777777" w:rsidTr="002B5E29">
        <w:trPr>
          <w:jc w:val="center"/>
        </w:trPr>
        <w:tc>
          <w:tcPr>
            <w:tcW w:w="2223" w:type="dxa"/>
          </w:tcPr>
          <w:p w14:paraId="3005C202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lastRenderedPageBreak/>
              <w:t>Funkcje L3 przełącznika IPv4</w:t>
            </w:r>
          </w:p>
        </w:tc>
        <w:tc>
          <w:tcPr>
            <w:tcW w:w="6974" w:type="dxa"/>
          </w:tcPr>
          <w:p w14:paraId="67F09D1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min. 1500 interfejsów IP</w:t>
            </w:r>
          </w:p>
          <w:p w14:paraId="14C8724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Wsparcie dla IP multinetting - wiele adresów przypisanych do jednej sieci VLAN</w:t>
            </w:r>
          </w:p>
          <w:p w14:paraId="68D5A4C0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Sprzętowa obsługa routingu IPv4</w:t>
            </w:r>
          </w:p>
          <w:p w14:paraId="671E3D1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Pojemność sprzętowej tabeli routingu min. 12 tys. wpisów</w:t>
            </w:r>
          </w:p>
          <w:p w14:paraId="0E1B091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routingu statycznego IPv4</w:t>
            </w:r>
          </w:p>
          <w:p w14:paraId="3E39118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routingu dynamicznego IPv4</w:t>
            </w:r>
          </w:p>
          <w:p w14:paraId="2E62FF4D" w14:textId="77777777" w:rsidR="007B1E73" w:rsidRPr="007B1E73" w:rsidRDefault="007B1E73" w:rsidP="007B1E73">
            <w:pPr>
              <w:numPr>
                <w:ilvl w:val="0"/>
                <w:numId w:val="23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RIP v1/v2</w:t>
            </w:r>
          </w:p>
          <w:p w14:paraId="26E905D7" w14:textId="77777777" w:rsidR="007B1E73" w:rsidRPr="007B1E73" w:rsidRDefault="007B1E73" w:rsidP="007B1E73">
            <w:pPr>
              <w:numPr>
                <w:ilvl w:val="0"/>
                <w:numId w:val="23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OSPFv2 min. 4 aktywne interfejsy IP - możliwość rozszerzenia do pełnej funkcjonalności przez licencję</w:t>
            </w:r>
          </w:p>
          <w:p w14:paraId="5491CCEA" w14:textId="77777777" w:rsidR="007B1E73" w:rsidRPr="007B1E73" w:rsidRDefault="007B1E73" w:rsidP="007B1E73">
            <w:pPr>
              <w:numPr>
                <w:ilvl w:val="0"/>
                <w:numId w:val="23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BGPv4 min. 2 sąsiadów - możliwość rozszerzenia do pełnej funkcjonalności przez licencję</w:t>
            </w:r>
          </w:p>
          <w:p w14:paraId="786F159B" w14:textId="77777777" w:rsidR="007B1E73" w:rsidRPr="007B1E73" w:rsidRDefault="007B1E73" w:rsidP="007B1E73">
            <w:pPr>
              <w:numPr>
                <w:ilvl w:val="0"/>
                <w:numId w:val="23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ISIS - możliwość rozszerzenia przez licencję</w:t>
            </w:r>
          </w:p>
          <w:p w14:paraId="589CCB0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redundancji routingu VRRP dla IPv4</w:t>
            </w:r>
          </w:p>
          <w:p w14:paraId="12259EC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Policy Based Routing dla IPv4</w:t>
            </w:r>
          </w:p>
          <w:p w14:paraId="48497DA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Obsługa DHCP Relay </w:t>
            </w:r>
          </w:p>
          <w:p w14:paraId="46665A7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Obsługa DHCP Relay z możliwością wysłania zapytań jednocześnie do min. 4 serwerów </w:t>
            </w:r>
          </w:p>
          <w:p w14:paraId="5FA874A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Opcji 82 dla DHCP</w:t>
            </w:r>
          </w:p>
        </w:tc>
      </w:tr>
      <w:tr w:rsidR="007B1E73" w:rsidRPr="007B1E73" w14:paraId="19B9E287" w14:textId="77777777" w:rsidTr="002B5E29">
        <w:trPr>
          <w:jc w:val="center"/>
        </w:trPr>
        <w:tc>
          <w:tcPr>
            <w:tcW w:w="2223" w:type="dxa"/>
          </w:tcPr>
          <w:p w14:paraId="371F08F7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t>Funkcje L3 przełącznika IPv6</w:t>
            </w:r>
          </w:p>
        </w:tc>
        <w:tc>
          <w:tcPr>
            <w:tcW w:w="6974" w:type="dxa"/>
          </w:tcPr>
          <w:p w14:paraId="3CA7C139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Sprzętowa obsługa routingu IPv6</w:t>
            </w:r>
          </w:p>
          <w:p w14:paraId="0AAC8B3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Pojemność tabeli routingu min. 6 tys. wpisów</w:t>
            </w:r>
          </w:p>
          <w:p w14:paraId="186578D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routingu statycznego IPv6</w:t>
            </w:r>
          </w:p>
          <w:p w14:paraId="07D9FBB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routingu dynamicznego IPv6</w:t>
            </w:r>
          </w:p>
          <w:p w14:paraId="50998D7E" w14:textId="77777777" w:rsidR="007B1E73" w:rsidRPr="007B1E73" w:rsidRDefault="007B1E73" w:rsidP="007B1E73">
            <w:pPr>
              <w:numPr>
                <w:ilvl w:val="0"/>
                <w:numId w:val="24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RIPng</w:t>
            </w:r>
          </w:p>
          <w:p w14:paraId="2DD5EC99" w14:textId="77777777" w:rsidR="007B1E73" w:rsidRPr="007B1E73" w:rsidRDefault="007B1E73" w:rsidP="007B1E73">
            <w:pPr>
              <w:numPr>
                <w:ilvl w:val="0"/>
                <w:numId w:val="24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OSPFv3 min. 4 aktywne interfejsy IP - możliwość rozszerzenia do pełnej funkjconalności przez licencję</w:t>
            </w:r>
          </w:p>
          <w:p w14:paraId="02E26A8D" w14:textId="77777777" w:rsidR="007B1E73" w:rsidRPr="007B1E73" w:rsidRDefault="007B1E73" w:rsidP="007B1E73">
            <w:pPr>
              <w:numPr>
                <w:ilvl w:val="0"/>
                <w:numId w:val="24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BGPv4 min. 2 sąsiadów - możliwość rozszerzenia do pełnej funkcjonalności przez licencję</w:t>
            </w:r>
          </w:p>
          <w:p w14:paraId="431E42D8" w14:textId="77777777" w:rsidR="007B1E73" w:rsidRPr="007B1E73" w:rsidRDefault="007B1E73" w:rsidP="007B1E73">
            <w:pPr>
              <w:numPr>
                <w:ilvl w:val="0"/>
                <w:numId w:val="24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ISIS - możliwość rozszerzenia przez licencję</w:t>
            </w:r>
          </w:p>
          <w:p w14:paraId="7AF724F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redundancji routingu VRRP dla IPv6</w:t>
            </w:r>
          </w:p>
          <w:p w14:paraId="7652406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Policy Based Routing dla IPv6</w:t>
            </w:r>
          </w:p>
          <w:p w14:paraId="4C7D37B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6to4 (RFC 3056)</w:t>
            </w:r>
          </w:p>
          <w:p w14:paraId="7AD0076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Opcja IPv6 Router Advertisement dla DNS - RFC 6106</w:t>
            </w:r>
          </w:p>
        </w:tc>
      </w:tr>
      <w:tr w:rsidR="007B1E73" w:rsidRPr="007B1E73" w14:paraId="77CF4DCF" w14:textId="77777777" w:rsidTr="002B5E29">
        <w:trPr>
          <w:jc w:val="center"/>
        </w:trPr>
        <w:tc>
          <w:tcPr>
            <w:tcW w:w="2223" w:type="dxa"/>
          </w:tcPr>
          <w:p w14:paraId="0B340753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lastRenderedPageBreak/>
              <w:t>Obsługa ruchu rozgłoszeniowego</w:t>
            </w:r>
          </w:p>
        </w:tc>
        <w:tc>
          <w:tcPr>
            <w:tcW w:w="6974" w:type="dxa"/>
          </w:tcPr>
          <w:p w14:paraId="6609AA0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Statyczne przyłączania portu do grupy multicast</w:t>
            </w:r>
          </w:p>
          <w:p w14:paraId="1BCDD00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Filtrowanie IGMP</w:t>
            </w:r>
          </w:p>
          <w:p w14:paraId="41B34AF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IGMP v1 - RFC 1112</w:t>
            </w:r>
          </w:p>
          <w:p w14:paraId="164F506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IGMP v2 - RFC 2236</w:t>
            </w:r>
          </w:p>
          <w:p w14:paraId="7BCB55A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IGMP v3 - RFC 3376</w:t>
            </w:r>
          </w:p>
          <w:p w14:paraId="42A0EAC3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IGMP v1/v2/v3 snooping</w:t>
            </w:r>
          </w:p>
          <w:p w14:paraId="325B1C9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PIM-SM</w:t>
            </w:r>
          </w:p>
          <w:p w14:paraId="6C65DB2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PIM-DM - możliwość rozszerzenia przez licencję</w:t>
            </w:r>
          </w:p>
          <w:p w14:paraId="1A9617E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PIM-SSM - możliwość rozszerzenia przez licencję</w:t>
            </w:r>
          </w:p>
          <w:p w14:paraId="0B1FC89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MLDv1 snooping</w:t>
            </w:r>
          </w:p>
          <w:p w14:paraId="5D5E3FB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MLDv2 snooping</w:t>
            </w:r>
          </w:p>
          <w:p w14:paraId="03C0001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MVR (Multicast VLAN Registration)</w:t>
            </w:r>
          </w:p>
        </w:tc>
      </w:tr>
      <w:tr w:rsidR="007B1E73" w:rsidRPr="007B1E73" w14:paraId="6B5E079B" w14:textId="77777777" w:rsidTr="002B5E29">
        <w:trPr>
          <w:jc w:val="center"/>
        </w:trPr>
        <w:tc>
          <w:tcPr>
            <w:tcW w:w="2223" w:type="dxa"/>
          </w:tcPr>
          <w:p w14:paraId="66E902E5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lastRenderedPageBreak/>
              <w:t>Funkcje bezpieczeństwa</w:t>
            </w:r>
          </w:p>
        </w:tc>
        <w:tc>
          <w:tcPr>
            <w:tcW w:w="6974" w:type="dxa"/>
          </w:tcPr>
          <w:p w14:paraId="1420FF6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logowania do sieci Network Login</w:t>
            </w:r>
          </w:p>
          <w:p w14:paraId="50F3080E" w14:textId="77777777" w:rsidR="007B1E73" w:rsidRPr="007B1E73" w:rsidRDefault="007B1E73" w:rsidP="007B1E73">
            <w:pPr>
              <w:numPr>
                <w:ilvl w:val="0"/>
                <w:numId w:val="25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IEEE 802.1x based Network Login</w:t>
            </w:r>
          </w:p>
          <w:p w14:paraId="1688E1AC" w14:textId="77777777" w:rsidR="007B1E73" w:rsidRPr="007B1E73" w:rsidRDefault="007B1E73" w:rsidP="007B1E73">
            <w:pPr>
              <w:numPr>
                <w:ilvl w:val="0"/>
                <w:numId w:val="25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0MAC address based Network Login</w:t>
            </w:r>
          </w:p>
          <w:p w14:paraId="1C463C22" w14:textId="77777777" w:rsidR="007B1E73" w:rsidRPr="007B1E73" w:rsidRDefault="007B1E73" w:rsidP="007B1E73">
            <w:pPr>
              <w:numPr>
                <w:ilvl w:val="0"/>
                <w:numId w:val="25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Web based Network Login</w:t>
            </w:r>
          </w:p>
          <w:p w14:paraId="4D7DA41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wielu klientów Network Login na jednym porcie (Multiple supplicants)</w:t>
            </w:r>
          </w:p>
          <w:p w14:paraId="680DDC7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logowania do sieci z wykorzystaniem IEEE 802.1x oraz MAC authentication na portach pracujących w trybie Link Aggregation</w:t>
            </w:r>
          </w:p>
          <w:p w14:paraId="76D01C6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Przydział sieci VLAN, ACL/QoS, dla uwierzytelnionego użytkownika lub urządzenia, podczas logowania do sieci IEEE 802.1x </w:t>
            </w:r>
          </w:p>
          <w:p w14:paraId="28DE33F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Przydział sieci VLAN, ACL/QoS, dla uwierzytelnionego użytkownika lub urządzenia, podczas logowania do sieci MAC authentication </w:t>
            </w:r>
          </w:p>
          <w:p w14:paraId="6F7D874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Automatyczne wytworzenie sieci VLAN przesłanej podczas logowania IEEE 802.1x lub MAC authentication w ramach RFC 3580 wraz z automatycznym dodaniem tej sieci VLAN na wskazanych portach uplink</w:t>
            </w:r>
          </w:p>
          <w:p w14:paraId="3DBC10E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Automatyczne wytworzenie sieci VLAN przesłanej podczas logowania IEEE 802.1x lub MAC authentication w ramach RFC 3580 wraz z automatycznym dodaniem tej sieci VLAN na portach dołączonych do przełączników obsługujących IEEE 802.1Qcj - Automatic Attachment to Provider Backbone Bridging</w:t>
            </w:r>
          </w:p>
          <w:p w14:paraId="72E2356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Automatyczne włączenie DHCP snooping dla klienta logującego się z wykorzystaniem IEEE 802.1x lub MAC authentication - poprzez RADIUS VSA</w:t>
            </w:r>
          </w:p>
          <w:p w14:paraId="6B2894E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Automatyczne włączenie ARP Inspection dla klienta logującego się z wykorzystaniem IEEE 802.1x lub MAC authentication - poprzez RADIUS VSA</w:t>
            </w:r>
          </w:p>
          <w:p w14:paraId="0EE62B8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posiadać mechanizm pozwalający na wyłączenie uwierzytalniania na porcie, za pomocą RADIUS VSA, np. w przypadku wykrycia bezprzewodowego punktu dostępowego, który "przejmie" rolę uwierzytelniania klientów</w:t>
            </w:r>
          </w:p>
          <w:p w14:paraId="2F20B56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Guest VLAN dla IEEE 802.1x</w:t>
            </w:r>
          </w:p>
          <w:p w14:paraId="14DB343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przekierowania klienta na Captive Portal podczas logowania do sieci</w:t>
            </w:r>
          </w:p>
          <w:p w14:paraId="386DE92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wymuszenia ponownej autoryzacji w celu zmiany autoryzacji klienta (zmiana VLAN, ACL, QoS) bez konieczności wyłączania i włączania portu - CoA RFC 5176</w:t>
            </w:r>
          </w:p>
          <w:p w14:paraId="6B95931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wymuszania ponownego periodycznego uwierzytelnienie (Reauthentication)</w:t>
            </w:r>
          </w:p>
          <w:p w14:paraId="6437EB9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RADIUS Authentication (RFC 2865)</w:t>
            </w:r>
          </w:p>
          <w:p w14:paraId="5055AF6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lastRenderedPageBreak/>
              <w:t>Obsługa RADIUS Accounting (RFC 2866)</w:t>
            </w:r>
          </w:p>
          <w:p w14:paraId="02381C4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RADIUS Per-Command Authentication - uwierzytelnianie każdej komendy wydawanej przez administratora w serwerze RADIUS</w:t>
            </w:r>
          </w:p>
          <w:p w14:paraId="3DA1994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Obsługa RADIUS Authentication over TLS (RadSec) </w:t>
            </w:r>
          </w:p>
          <w:p w14:paraId="7B82D9B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Obsługa RADIUS Accounting over TLS (RadSec) </w:t>
            </w:r>
          </w:p>
          <w:p w14:paraId="65E741E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TACACS+ (RFC 1492)</w:t>
            </w:r>
          </w:p>
          <w:p w14:paraId="73D8480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Bezpieczeństwo MAC adresów</w:t>
            </w:r>
          </w:p>
          <w:p w14:paraId="4B4F4FB0" w14:textId="77777777" w:rsidR="007B1E73" w:rsidRPr="007B1E73" w:rsidRDefault="007B1E73" w:rsidP="007B1E73">
            <w:pPr>
              <w:numPr>
                <w:ilvl w:val="0"/>
                <w:numId w:val="26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ograniczenie liczby MAC adresów na porcie</w:t>
            </w:r>
          </w:p>
          <w:p w14:paraId="3CB1008F" w14:textId="77777777" w:rsidR="007B1E73" w:rsidRPr="007B1E73" w:rsidRDefault="007B1E73" w:rsidP="007B1E73">
            <w:pPr>
              <w:numPr>
                <w:ilvl w:val="0"/>
                <w:numId w:val="26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zatrzaśnięcie MAC adresów na porcie</w:t>
            </w:r>
          </w:p>
          <w:p w14:paraId="6D6F3DD2" w14:textId="77777777" w:rsidR="007B1E73" w:rsidRPr="007B1E73" w:rsidRDefault="007B1E73" w:rsidP="007B1E73">
            <w:pPr>
              <w:numPr>
                <w:ilvl w:val="0"/>
                <w:numId w:val="26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wpisania statycznych MAC adresów na port/vlan</w:t>
            </w:r>
          </w:p>
          <w:p w14:paraId="5FA3934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wyłączenia nauki MAC adresów na switchu (disable MAC learning)</w:t>
            </w:r>
          </w:p>
          <w:p w14:paraId="2155091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Dwukierunkowe (ingress oraz egress) listy kontroli dostępu</w:t>
            </w:r>
            <w:r w:rsidRPr="007B1E73">
              <w:rPr>
                <w:rFonts w:ascii="Bahnschrift Light" w:hAnsi="Bahnschrift Light" w:cs="Times New Roman"/>
                <w:noProof w:val="0"/>
              </w:rPr>
              <w:t xml:space="preserve"> </w:t>
            </w:r>
            <w:proofErr w:type="gramStart"/>
            <w:r w:rsidRPr="007B1E73">
              <w:rPr>
                <w:rFonts w:ascii="Bahnschrift Light" w:hAnsi="Bahnschrift Light" w:cs="Times New Roman"/>
                <w:noProof w:val="0"/>
              </w:rPr>
              <w:t>ACL  na</w:t>
            </w:r>
            <w:proofErr w:type="gramEnd"/>
            <w:r w:rsidRPr="007B1E73">
              <w:rPr>
                <w:rFonts w:ascii="Bahnschrift Light" w:hAnsi="Bahnschrift Light" w:cs="Times New Roman"/>
                <w:noProof w:val="0"/>
              </w:rPr>
              <w:t xml:space="preserve"> warstwie 2, 3 i 4</w:t>
            </w:r>
          </w:p>
          <w:p w14:paraId="564AA772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Adres MAC źródłowy i docelowy plus maska</w:t>
            </w:r>
          </w:p>
          <w:p w14:paraId="0906B66E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Adres IP źródłowy i docelowy plus maska dla IPv4</w:t>
            </w:r>
          </w:p>
          <w:p w14:paraId="619150A8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Adres IP źródłowy i docelowy plus maska dla IPv6</w:t>
            </w:r>
          </w:p>
          <w:p w14:paraId="1ED02DCD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Protokół - </w:t>
            </w:r>
            <w:proofErr w:type="gramStart"/>
            <w:r w:rsidRPr="007B1E73">
              <w:rPr>
                <w:rFonts w:ascii="Bahnschrift Light" w:eastAsia="Cambria" w:hAnsi="Bahnschrift Light" w:cs="Times New Roman"/>
                <w:noProof w:val="0"/>
              </w:rPr>
              <w:t>np..</w:t>
            </w:r>
            <w:proofErr w:type="gramEnd"/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 UDP, TCP, ICMP, IGMP, OSPF, PIM, IPv6 </w:t>
            </w:r>
            <w:proofErr w:type="gramStart"/>
            <w:r w:rsidRPr="007B1E73">
              <w:rPr>
                <w:rFonts w:ascii="Bahnschrift Light" w:eastAsia="Cambria" w:hAnsi="Bahnschrift Light" w:cs="Times New Roman"/>
                <w:noProof w:val="0"/>
              </w:rPr>
              <w:t>itd..</w:t>
            </w:r>
            <w:proofErr w:type="gramEnd"/>
          </w:p>
          <w:p w14:paraId="3379D31C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Numery portów źródłowych i docelowych TCP, UDP</w:t>
            </w:r>
          </w:p>
          <w:p w14:paraId="63A4B781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Zakresy portów źródłowych i docelowych TCP, UDP</w:t>
            </w:r>
          </w:p>
          <w:p w14:paraId="4120C401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Identyfikator sieci VLAN - VLAN ID</w:t>
            </w:r>
          </w:p>
          <w:p w14:paraId="210C22AC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Quality of Service IEEE 802.1p</w:t>
            </w:r>
          </w:p>
          <w:p w14:paraId="699ADED3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Quality of Service DiffServ/DSCP</w:t>
            </w:r>
          </w:p>
          <w:p w14:paraId="75632349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Flagi TCP </w:t>
            </w:r>
          </w:p>
          <w:p w14:paraId="774D912A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fragmentów</w:t>
            </w:r>
          </w:p>
          <w:p w14:paraId="75C6FCF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Listy kontroli dostępu ACL realizowane w sprzęcie bez zmniejszania wydajności przełącznika</w:t>
            </w:r>
          </w:p>
          <w:p w14:paraId="6DE310D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zliczania pakietów lub bajtów trafiających do konkretnej ACL i w przypadku przekroczenia skonfigurowanych wartości podejmowania akcji np. blokowanie ruchu, przekierowanie do kolejki o niższym priorytecie, wysłanie trapu SNMP, wysłanie informacji do serwera Syslog lub wykonanie komendy CLI</w:t>
            </w:r>
          </w:p>
          <w:p w14:paraId="3B0A70E9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Wsparcie 36 tys. wpisów ACL na wejściu (Ingress)</w:t>
            </w:r>
          </w:p>
          <w:p w14:paraId="1A9A5BE9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Wsparcie 1 tys. wpisów ACL na wyjściu (Egress)</w:t>
            </w:r>
          </w:p>
          <w:p w14:paraId="2EC4B52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Obsługa IP Security </w:t>
            </w:r>
          </w:p>
          <w:p w14:paraId="4B65E218" w14:textId="77777777" w:rsidR="007B1E73" w:rsidRPr="007B1E73" w:rsidRDefault="007B1E73" w:rsidP="007B1E73">
            <w:pPr>
              <w:numPr>
                <w:ilvl w:val="0"/>
                <w:numId w:val="2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Trused DHCP Server</w:t>
            </w:r>
          </w:p>
          <w:p w14:paraId="1E9F9F84" w14:textId="77777777" w:rsidR="007B1E73" w:rsidRPr="007B1E73" w:rsidRDefault="007B1E73" w:rsidP="007B1E73">
            <w:pPr>
              <w:numPr>
                <w:ilvl w:val="0"/>
                <w:numId w:val="2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DHCP Snooping and Guard</w:t>
            </w:r>
          </w:p>
          <w:p w14:paraId="6CB75AE6" w14:textId="77777777" w:rsidR="007B1E73" w:rsidRPr="007B1E73" w:rsidRDefault="007B1E73" w:rsidP="007B1E73">
            <w:pPr>
              <w:numPr>
                <w:ilvl w:val="0"/>
                <w:numId w:val="2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Gratuitous ARP Protection</w:t>
            </w:r>
          </w:p>
          <w:p w14:paraId="5127227D" w14:textId="77777777" w:rsidR="007B1E73" w:rsidRPr="007B1E73" w:rsidRDefault="007B1E73" w:rsidP="007B1E73">
            <w:pPr>
              <w:numPr>
                <w:ilvl w:val="0"/>
                <w:numId w:val="2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DHCP Secured ARP/ARP Validation</w:t>
            </w:r>
          </w:p>
          <w:p w14:paraId="6562F5D7" w14:textId="77777777" w:rsidR="007B1E73" w:rsidRPr="007B1E73" w:rsidRDefault="007B1E73" w:rsidP="007B1E73">
            <w:pPr>
              <w:numPr>
                <w:ilvl w:val="0"/>
                <w:numId w:val="2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IP Source Guard</w:t>
            </w:r>
          </w:p>
          <w:p w14:paraId="207E308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Ograniczenie przepustowości (rate limiting) na portach wyjściowych </w:t>
            </w:r>
          </w:p>
          <w:p w14:paraId="24190C8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lastRenderedPageBreak/>
              <w:t>Ograniczenie przepustowości (rate limiting) ruchu wybranego przez ACL</w:t>
            </w:r>
          </w:p>
          <w:p w14:paraId="700179B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wykrywania periodycznego zaniku linku (Port-Flap):</w:t>
            </w:r>
          </w:p>
          <w:p w14:paraId="03A66A6C" w14:textId="77777777" w:rsidR="007B1E73" w:rsidRPr="007B1E73" w:rsidRDefault="007B1E73" w:rsidP="007B1E73">
            <w:pPr>
              <w:numPr>
                <w:ilvl w:val="0"/>
                <w:numId w:val="29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możliwość zdefiniowania liczby zaniku linku w czasie określonego czasu </w:t>
            </w:r>
          </w:p>
          <w:p w14:paraId="224D7319" w14:textId="77777777" w:rsidR="007B1E73" w:rsidRPr="007B1E73" w:rsidRDefault="007B1E73" w:rsidP="007B1E73">
            <w:pPr>
              <w:numPr>
                <w:ilvl w:val="0"/>
                <w:numId w:val="29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możliwość automatycznej reakcji polegającej na wyłączeniu portu </w:t>
            </w:r>
          </w:p>
          <w:p w14:paraId="104552F6" w14:textId="77777777" w:rsidR="007B1E73" w:rsidRPr="007B1E73" w:rsidRDefault="007B1E73" w:rsidP="007B1E73">
            <w:pPr>
              <w:numPr>
                <w:ilvl w:val="0"/>
                <w:numId w:val="29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automatycznej reakcji polegającej na</w:t>
            </w:r>
            <w:r w:rsidRPr="007B1E73">
              <w:rPr>
                <w:rFonts w:ascii="Bahnschrift Light" w:hAnsi="Bahnschrift Light" w:cs="Times New Roman"/>
                <w:noProof w:val="0"/>
              </w:rPr>
              <w:t xml:space="preserve"> wyłączeniu portu na wskazany czas</w:t>
            </w:r>
          </w:p>
          <w:p w14:paraId="4E8C68C7" w14:textId="77777777" w:rsidR="007B1E73" w:rsidRPr="007B1E73" w:rsidRDefault="007B1E73" w:rsidP="007B1E73">
            <w:pPr>
              <w:numPr>
                <w:ilvl w:val="0"/>
                <w:numId w:val="29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raportowania zdarzenia poprzez Syslog</w:t>
            </w:r>
          </w:p>
          <w:p w14:paraId="7B9C8A15" w14:textId="77777777" w:rsidR="007B1E73" w:rsidRPr="007B1E73" w:rsidRDefault="007B1E73" w:rsidP="007B1E73">
            <w:pPr>
              <w:numPr>
                <w:ilvl w:val="0"/>
                <w:numId w:val="29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raportowania zdarzenia poprzez Trap SNMP</w:t>
            </w:r>
          </w:p>
          <w:p w14:paraId="3F6A482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Wydajność MACSec po rozbudowie przełącznika nie mniejsza niż: 50 Gb/s</w:t>
            </w:r>
          </w:p>
        </w:tc>
      </w:tr>
      <w:tr w:rsidR="007B1E73" w:rsidRPr="007B1E73" w14:paraId="3D12C4E9" w14:textId="77777777" w:rsidTr="002B5E29">
        <w:trPr>
          <w:jc w:val="center"/>
        </w:trPr>
        <w:tc>
          <w:tcPr>
            <w:tcW w:w="2223" w:type="dxa"/>
          </w:tcPr>
          <w:p w14:paraId="1156BB8C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lastRenderedPageBreak/>
              <w:t>Zarządzanie</w:t>
            </w:r>
          </w:p>
        </w:tc>
        <w:tc>
          <w:tcPr>
            <w:tcW w:w="6974" w:type="dxa"/>
          </w:tcPr>
          <w:p w14:paraId="4765B59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Zarządzenia przez SNMP v1/v2/v3</w:t>
            </w:r>
          </w:p>
          <w:p w14:paraId="23F5140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SNMP Traps</w:t>
            </w:r>
          </w:p>
          <w:p w14:paraId="0C0D97F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synchronizacji czasu SNTP lub NTP</w:t>
            </w:r>
          </w:p>
          <w:p w14:paraId="008BFFF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DNS klienta</w:t>
            </w:r>
          </w:p>
          <w:p w14:paraId="15E7EF7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Zarządzanie przez przeglądarkę www - protokół http i https</w:t>
            </w:r>
          </w:p>
          <w:p w14:paraId="7DDA734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Możliwość zarządzania przez protokół XML</w:t>
            </w:r>
          </w:p>
          <w:p w14:paraId="4086833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serwera SSH dla IPv4</w:t>
            </w:r>
          </w:p>
          <w:p w14:paraId="0363B6D0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serwera SSH dla IPv6</w:t>
            </w:r>
          </w:p>
          <w:p w14:paraId="2368EC0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klienta SSH dla IPv4</w:t>
            </w:r>
          </w:p>
          <w:p w14:paraId="0B33B7A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klienta SSH dla IPv6</w:t>
            </w:r>
          </w:p>
          <w:p w14:paraId="5A19B68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serwera Telnet dla IPv4</w:t>
            </w:r>
          </w:p>
          <w:p w14:paraId="277CDEC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serwera Telnet dla IPv6</w:t>
            </w:r>
          </w:p>
          <w:p w14:paraId="7C7AF119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klienta Telnet dla IPv4</w:t>
            </w:r>
          </w:p>
          <w:p w14:paraId="13803B8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klienta Telnet dla IPv6</w:t>
            </w:r>
          </w:p>
          <w:p w14:paraId="39777B3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transferu plików:</w:t>
            </w:r>
          </w:p>
          <w:p w14:paraId="37BF8F8E" w14:textId="77777777" w:rsidR="007B1E73" w:rsidRPr="007B1E73" w:rsidRDefault="007B1E73" w:rsidP="007B1E73">
            <w:pPr>
              <w:numPr>
                <w:ilvl w:val="0"/>
                <w:numId w:val="3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TFTP</w:t>
            </w:r>
          </w:p>
          <w:p w14:paraId="4AF2FD7F" w14:textId="77777777" w:rsidR="007B1E73" w:rsidRPr="007B1E73" w:rsidRDefault="007B1E73" w:rsidP="007B1E73">
            <w:pPr>
              <w:numPr>
                <w:ilvl w:val="0"/>
                <w:numId w:val="3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SFTP</w:t>
            </w:r>
          </w:p>
          <w:p w14:paraId="66F3D2D7" w14:textId="77777777" w:rsidR="007B1E73" w:rsidRPr="007B1E73" w:rsidRDefault="007B1E73" w:rsidP="007B1E73">
            <w:pPr>
              <w:numPr>
                <w:ilvl w:val="0"/>
                <w:numId w:val="3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SCP</w:t>
            </w:r>
          </w:p>
          <w:p w14:paraId="32EC7CE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SYSLOG</w:t>
            </w:r>
          </w:p>
          <w:p w14:paraId="3580EBA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Secure SYSLOG (TLS)</w:t>
            </w:r>
          </w:p>
          <w:p w14:paraId="2DDE67C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SYSLOG - konfiguracja wielu serwerów SYSLOG z możliwością definicji wysyłanych zdarzeń</w:t>
            </w:r>
          </w:p>
          <w:p w14:paraId="483FF08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logowania komend CLI do logu systemowego</w:t>
            </w:r>
          </w:p>
          <w:p w14:paraId="57FBE7A0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logowania komend do serwera SYSLOG</w:t>
            </w:r>
          </w:p>
          <w:p w14:paraId="75F1CAE0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ping dla IPv4 i IPv6</w:t>
            </w:r>
          </w:p>
          <w:p w14:paraId="5800E6D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traceroute dla IPv4 i IPv6</w:t>
            </w:r>
          </w:p>
          <w:p w14:paraId="35A49C80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 xml:space="preserve">Obsługa RMON min. 4 grupy: Status, History, Alarms, Events </w:t>
            </w:r>
          </w:p>
          <w:p w14:paraId="07149E8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RMON2</w:t>
            </w:r>
          </w:p>
        </w:tc>
      </w:tr>
      <w:tr w:rsidR="007B1E73" w:rsidRPr="007B1E73" w14:paraId="0A415434" w14:textId="77777777" w:rsidTr="002B5E29">
        <w:trPr>
          <w:jc w:val="center"/>
        </w:trPr>
        <w:tc>
          <w:tcPr>
            <w:tcW w:w="2223" w:type="dxa"/>
          </w:tcPr>
          <w:p w14:paraId="14190201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lastRenderedPageBreak/>
              <w:t>Inne</w:t>
            </w:r>
          </w:p>
        </w:tc>
        <w:tc>
          <w:tcPr>
            <w:tcW w:w="6974" w:type="dxa"/>
          </w:tcPr>
          <w:p w14:paraId="1E6E8E4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Współpraca z systemem kontroli dostępu oferowanym przez producenta przełączników</w:t>
            </w:r>
          </w:p>
          <w:p w14:paraId="1255BA5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 xml:space="preserve">Wbudowany DHCP Server </w:t>
            </w:r>
          </w:p>
          <w:p w14:paraId="7DDABFC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DHCP Server z możliwość definicji opcji (np. opcje 43, 60, 78 itp.)</w:t>
            </w:r>
          </w:p>
          <w:p w14:paraId="4BFBE7C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Wbudowany DHCP Client</w:t>
            </w:r>
          </w:p>
          <w:p w14:paraId="19F8411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skryptów CLI</w:t>
            </w:r>
          </w:p>
          <w:p w14:paraId="63E51FB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funkcji TCL/Tk w skryptach CLI</w:t>
            </w:r>
          </w:p>
          <w:p w14:paraId="67FE709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skryptów Python 3.x</w:t>
            </w:r>
          </w:p>
          <w:p w14:paraId="27324B2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Możliwość uruchamiania skryptów:</w:t>
            </w:r>
          </w:p>
          <w:p w14:paraId="4F796856" w14:textId="77777777" w:rsidR="007B1E73" w:rsidRPr="007B1E73" w:rsidRDefault="007B1E73" w:rsidP="007B1E73">
            <w:pPr>
              <w:numPr>
                <w:ilvl w:val="0"/>
                <w:numId w:val="31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ręcznie z CLI przez administratora</w:t>
            </w:r>
          </w:p>
          <w:p w14:paraId="7FA49749" w14:textId="77777777" w:rsidR="007B1E73" w:rsidRPr="007B1E73" w:rsidRDefault="007B1E73" w:rsidP="007B1E73">
            <w:pPr>
              <w:numPr>
                <w:ilvl w:val="0"/>
                <w:numId w:val="31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 określonym czasie lub co wskazany czas</w:t>
            </w:r>
          </w:p>
          <w:p w14:paraId="684CC8DF" w14:textId="77777777" w:rsidR="007B1E73" w:rsidRPr="007B1E73" w:rsidRDefault="007B1E73" w:rsidP="007B1E73">
            <w:pPr>
              <w:numPr>
                <w:ilvl w:val="0"/>
                <w:numId w:val="31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na podstawie zdarzeń z logu systemowego</w:t>
            </w:r>
          </w:p>
          <w:p w14:paraId="64C30ED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Możliwość edycji skryptów bezpośrednio na urządzeniu - system operacyjny musi zawierać edytor plików tekstowych</w:t>
            </w:r>
          </w:p>
          <w:p w14:paraId="2A1E3E2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Wsparcie standardu IEEE 802.1Qcj - Automatic Attachment to Provider Backbone Bridging</w:t>
            </w:r>
          </w:p>
          <w:p w14:paraId="6543406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 xml:space="preserve">Każdy przełącznik musi posiadać 2 wkładki światłowodowej tego samego producenta.  Wkładki Duplex LC SFP 850nm MMF </w:t>
            </w:r>
          </w:p>
          <w:p w14:paraId="600A67E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Każdy przełącznik musi posiadać kable do łączenia w stos. Kabel 1m SFP-DD</w:t>
            </w:r>
          </w:p>
        </w:tc>
      </w:tr>
      <w:tr w:rsidR="007B1E73" w:rsidRPr="007B1E73" w14:paraId="10760AD3" w14:textId="77777777" w:rsidTr="002B5E29">
        <w:trPr>
          <w:jc w:val="center"/>
        </w:trPr>
        <w:tc>
          <w:tcPr>
            <w:tcW w:w="2223" w:type="dxa"/>
          </w:tcPr>
          <w:p w14:paraId="0747FA5A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t>Zgodność z normami</w:t>
            </w:r>
          </w:p>
        </w:tc>
        <w:tc>
          <w:tcPr>
            <w:tcW w:w="6974" w:type="dxa"/>
          </w:tcPr>
          <w:p w14:paraId="6F5C0FA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EU RoHS - 2011/65/EU</w:t>
            </w:r>
          </w:p>
          <w:p w14:paraId="39D18C6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EN/ETSI 300 019-2-1 v2.1.2 - Class 1.2 Storage</w:t>
            </w:r>
          </w:p>
          <w:p w14:paraId="370331E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EN/ETSI 300 019-2-2 v2.1.2 - Class 2.3 Transportation</w:t>
            </w:r>
          </w:p>
          <w:p w14:paraId="109DCAB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EN/ETSI 300 019-2-3 v2.1.2 - Class 3.1e Operational</w:t>
            </w:r>
          </w:p>
        </w:tc>
      </w:tr>
      <w:tr w:rsidR="007B1E73" w:rsidRPr="007B1E73" w14:paraId="45845604" w14:textId="77777777" w:rsidTr="002B5E29">
        <w:trPr>
          <w:jc w:val="center"/>
        </w:trPr>
        <w:tc>
          <w:tcPr>
            <w:tcW w:w="2223" w:type="dxa"/>
          </w:tcPr>
          <w:p w14:paraId="1B89F34E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t>Gwarancja</w:t>
            </w:r>
          </w:p>
        </w:tc>
        <w:tc>
          <w:tcPr>
            <w:tcW w:w="6974" w:type="dxa"/>
          </w:tcPr>
          <w:p w14:paraId="1647C91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 xml:space="preserve">Dożywotnia gwarancja na sprzęt - min. 5 lat po zakończeniu produkcji </w:t>
            </w:r>
          </w:p>
          <w:p w14:paraId="5AFA0AF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Dożywotnia aktualizacja oprogramowania na przełączniku</w:t>
            </w:r>
          </w:p>
        </w:tc>
      </w:tr>
    </w:tbl>
    <w:p w14:paraId="00E4A396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5E645395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Nazwa i typ: ...............................................................................</w:t>
      </w:r>
    </w:p>
    <w:p w14:paraId="49E76DC5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Producent / kraj produkcji: ........................................................</w:t>
      </w:r>
    </w:p>
    <w:p w14:paraId="4E6B006C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Rok produkcji (min. 2025</w:t>
      </w:r>
      <w:proofErr w:type="gramStart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):  …</w:t>
      </w:r>
      <w:proofErr w:type="gramEnd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....................................................</w:t>
      </w:r>
    </w:p>
    <w:p w14:paraId="79FC119D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</w:p>
    <w:tbl>
      <w:tblPr>
        <w:tblW w:w="77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37"/>
      </w:tblGrid>
      <w:tr w:rsidR="007B1E73" w:rsidRPr="007B1E73" w14:paraId="6EF2DB53" w14:textId="77777777" w:rsidTr="002B5E29"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A0D4" w14:textId="77777777" w:rsidR="007B1E73" w:rsidRPr="007B1E73" w:rsidRDefault="007B1E73" w:rsidP="007B1E73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B1E73"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  <w:t>PARAMETRY TECHNICZNE I EKSPLOATACYJNE</w:t>
            </w:r>
          </w:p>
        </w:tc>
      </w:tr>
    </w:tbl>
    <w:p w14:paraId="75D4F815" w14:textId="77777777" w:rsidR="007B1E73" w:rsidRPr="007B1E73" w:rsidRDefault="007B1E73" w:rsidP="007B1E7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  <w:t>WYKAZ PARAMETRÓW TECHNICZNYCH I UŻYTKOWYCH PRZEŁĄCZNIK Z POE DLA PRACOWNI HEMODYNAMIKI</w:t>
      </w:r>
    </w:p>
    <w:tbl>
      <w:tblPr>
        <w:tblStyle w:val="Tabela-Siatka3"/>
        <w:tblW w:w="9219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6974"/>
      </w:tblGrid>
      <w:tr w:rsidR="007B1E73" w:rsidRPr="007B1E73" w14:paraId="4F9F0343" w14:textId="77777777" w:rsidTr="002B5E29">
        <w:trPr>
          <w:jc w:val="center"/>
        </w:trPr>
        <w:tc>
          <w:tcPr>
            <w:tcW w:w="2245" w:type="dxa"/>
          </w:tcPr>
          <w:p w14:paraId="063E446E" w14:textId="77777777" w:rsidR="007B1E73" w:rsidRPr="007B1E73" w:rsidRDefault="007B1E73" w:rsidP="007B1E73">
            <w:pPr>
              <w:keepNext/>
              <w:keepLines/>
              <w:spacing w:before="200"/>
              <w:outlineLvl w:val="1"/>
              <w:rPr>
                <w:rFonts w:ascii="Bahnschrift" w:eastAsia="MS Gothic" w:hAnsi="Bahnschrift" w:cs="Times New Roman"/>
                <w:bCs/>
                <w:noProof w:val="0"/>
                <w:sz w:val="24"/>
                <w:szCs w:val="26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6"/>
              </w:rPr>
              <w:lastRenderedPageBreak/>
              <w:t>Wymagania podstawowe</w:t>
            </w:r>
          </w:p>
        </w:tc>
        <w:tc>
          <w:tcPr>
            <w:tcW w:w="6974" w:type="dxa"/>
          </w:tcPr>
          <w:p w14:paraId="1DD3DAB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do sieci LAN w metalowej obudowie</w:t>
            </w:r>
          </w:p>
          <w:p w14:paraId="637BA05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Wysokość urządzenia 1U - montaż w standardowej szafie 19"</w:t>
            </w:r>
          </w:p>
          <w:p w14:paraId="18C3D47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wyposażony w dwa wymienne zasilacze AC 230V</w:t>
            </w:r>
          </w:p>
          <w:p w14:paraId="2BBBD54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Zasilacze muszą mieć możliwość wymiany w trakcie pracy przełącznika (Hot-swap)</w:t>
            </w:r>
          </w:p>
          <w:p w14:paraId="5FF1765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Wentylatory wymienne w czasie pracy (Hot Swap)</w:t>
            </w:r>
          </w:p>
          <w:p w14:paraId="4D55728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wyposażony w min.:</w:t>
            </w:r>
          </w:p>
          <w:p w14:paraId="62182C44" w14:textId="77777777" w:rsidR="007B1E73" w:rsidRPr="007B1E73" w:rsidRDefault="007B1E73" w:rsidP="007B1E73">
            <w:pPr>
              <w:numPr>
                <w:ilvl w:val="0"/>
                <w:numId w:val="32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16 portów multirate 100/1G/2.5G uPoE (90W) oraz min. 32 porty PoE+ 10/100/1000BASE-T</w:t>
            </w:r>
          </w:p>
          <w:p w14:paraId="54670A83" w14:textId="77777777" w:rsidR="007B1E73" w:rsidRPr="007B1E73" w:rsidRDefault="007B1E73" w:rsidP="007B1E73">
            <w:pPr>
              <w:numPr>
                <w:ilvl w:val="0"/>
                <w:numId w:val="32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4 porty SFP28 1/10/25G</w:t>
            </w:r>
          </w:p>
          <w:p w14:paraId="100B2D5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Porty 10/100/1000BASE-T muszą pracować w trybie Full/Half Duplex </w:t>
            </w:r>
          </w:p>
          <w:p w14:paraId="17D63B3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wspierać IEEE 802.3az Energy Efficient Ethernet</w:t>
            </w:r>
          </w:p>
          <w:p w14:paraId="10AA8F1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wspierać obsługę diagnostyki wkładek SFP/SFP+/SFP28</w:t>
            </w:r>
          </w:p>
          <w:p w14:paraId="7A3F29B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Wszystkie porty muszą być aktywne i zgodne z wymaganiami co do prędkości i liczby portów</w:t>
            </w:r>
          </w:p>
          <w:p w14:paraId="6430F1B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PoE+ zgodne ze standardem IEEE 802.3at</w:t>
            </w:r>
          </w:p>
          <w:p w14:paraId="44B6641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uPoE zgodne ze standardem IEEE 802.3bt (90 W)</w:t>
            </w:r>
          </w:p>
          <w:p w14:paraId="242A489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Budżet mocy dla zasilania PoE:</w:t>
            </w:r>
          </w:p>
          <w:p w14:paraId="05302706" w14:textId="77777777" w:rsidR="007B1E73" w:rsidRPr="007B1E73" w:rsidRDefault="007B1E73" w:rsidP="007B1E73">
            <w:pPr>
              <w:numPr>
                <w:ilvl w:val="0"/>
                <w:numId w:val="33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przy jednym zasilaczu nie mniejszy niż 787 W</w:t>
            </w:r>
          </w:p>
          <w:p w14:paraId="2355B3F3" w14:textId="77777777" w:rsidR="007B1E73" w:rsidRPr="007B1E73" w:rsidRDefault="007B1E73" w:rsidP="007B1E73">
            <w:pPr>
              <w:numPr>
                <w:ilvl w:val="0"/>
                <w:numId w:val="33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przy dwóch zasilaczach nie mniejszy niż 1541 W</w:t>
            </w:r>
          </w:p>
          <w:p w14:paraId="29E52F8B" w14:textId="77777777" w:rsidR="007B1E73" w:rsidRPr="007B1E73" w:rsidRDefault="007B1E73" w:rsidP="007B1E73">
            <w:pPr>
              <w:numPr>
                <w:ilvl w:val="0"/>
                <w:numId w:val="33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przy jednym zasilaczu nie mniejszy niż 1440 W - opcja 2</w:t>
            </w:r>
          </w:p>
          <w:p w14:paraId="585DBF29" w14:textId="77777777" w:rsidR="007B1E73" w:rsidRPr="007B1E73" w:rsidRDefault="007B1E73" w:rsidP="007B1E73">
            <w:pPr>
              <w:numPr>
                <w:ilvl w:val="0"/>
                <w:numId w:val="33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przy dwóch zasilaczach nie mniejszy niż 2400 W - opcja 2</w:t>
            </w:r>
          </w:p>
          <w:p w14:paraId="1F7B75A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ustawiania priorytetów wyłączenia PoE na portach w przypadku braku mocy</w:t>
            </w:r>
          </w:p>
          <w:p w14:paraId="5E5DD89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ustawienia włączania/wyłączania czasowego PoE</w:t>
            </w:r>
          </w:p>
          <w:p w14:paraId="514A1C6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Wsparcie Fast PoE - uruchomienie zasilania PoE bez oczekiwania na pełne uruchomienie oprogramowania przełącznika</w:t>
            </w:r>
          </w:p>
          <w:p w14:paraId="23305A3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lastRenderedPageBreak/>
              <w:t>Wsparcie Perpetual PoE - brak zaniku PoE podczas restartu przełącznika</w:t>
            </w:r>
          </w:p>
          <w:p w14:paraId="1101855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posiadać możliwość łączenia do 8 przełączników w stos</w:t>
            </w:r>
          </w:p>
          <w:p w14:paraId="0265052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Przepustowość stosu min. 80 Gb/s</w:t>
            </w:r>
          </w:p>
          <w:p w14:paraId="7883FCB0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budowy stosu za pomocą portów 10G SFP+</w:t>
            </w:r>
          </w:p>
          <w:p w14:paraId="7A81E35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Dedykowane 2 porty do budowy stosu przełączników</w:t>
            </w:r>
          </w:p>
          <w:p w14:paraId="63FCB8F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Stos musi zachowywać się jako jedno urządzenie logiczne, a w szczególności musi mieć możliwość bezpośredniej konfiguracji wszystkich fizycznych portów dostępnych na przełącznikach połączonych w stos, oraz posiadać jeden adres IP w celu zarządzania stosem</w:t>
            </w:r>
          </w:p>
          <w:p w14:paraId="71507C2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Nieblokująca architektura o wydajności przełączania min. 424 Gb/s</w:t>
            </w:r>
          </w:p>
          <w:p w14:paraId="37B896C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Szybkość przełączania: 315.5 Mp/s</w:t>
            </w:r>
          </w:p>
          <w:p w14:paraId="3F7D0E4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Zakres temperatury pracy przełącznika: 0 - 50 stopni C</w:t>
            </w:r>
          </w:p>
          <w:p w14:paraId="3B98DC2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Pamięć operacyjna: min. 1 GB pamięci DRAM</w:t>
            </w:r>
          </w:p>
          <w:p w14:paraId="7241DC3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Pamięć flash: min. 1 GB pamięci Flash</w:t>
            </w:r>
          </w:p>
          <w:p w14:paraId="63AB12D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Dedykowany port konsoli szeregowej RS-232 (RJ45)</w:t>
            </w:r>
          </w:p>
          <w:p w14:paraId="34FE6D3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wyposażony w modularny system operacyjny z ochroną pamięci, procesów oraz zasobów procesora</w:t>
            </w:r>
          </w:p>
          <w:p w14:paraId="1FAFB54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instalacji min. dwóch wersji oprogramowania - firmware</w:t>
            </w:r>
          </w:p>
          <w:p w14:paraId="32CA8C1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przechowywania min. 10 wersji konfiguracji w plikach tekstowych w pamięci Flash</w:t>
            </w:r>
          </w:p>
          <w:p w14:paraId="1F6DD8C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monitorowania zajętości CPU</w:t>
            </w:r>
          </w:p>
          <w:p w14:paraId="5423070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monitorowania zajętości pamięci</w:t>
            </w:r>
          </w:p>
          <w:p w14:paraId="5ED0F66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Wsparcie mirroringu ruchu</w:t>
            </w:r>
          </w:p>
          <w:p w14:paraId="118A8280" w14:textId="77777777" w:rsidR="007B1E73" w:rsidRPr="007B1E73" w:rsidRDefault="007B1E73" w:rsidP="007B1E73">
            <w:pPr>
              <w:numPr>
                <w:ilvl w:val="0"/>
                <w:numId w:val="34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Lokalny mirroring na przełączniku </w:t>
            </w:r>
          </w:p>
          <w:p w14:paraId="09BD263F" w14:textId="77777777" w:rsidR="007B1E73" w:rsidRPr="007B1E73" w:rsidRDefault="007B1E73" w:rsidP="007B1E73">
            <w:pPr>
              <w:numPr>
                <w:ilvl w:val="0"/>
                <w:numId w:val="34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Zdalny mirroring </w:t>
            </w:r>
          </w:p>
          <w:p w14:paraId="3870E5C6" w14:textId="77777777" w:rsidR="007B1E73" w:rsidRPr="007B1E73" w:rsidRDefault="007B1E73" w:rsidP="007B1E73">
            <w:pPr>
              <w:numPr>
                <w:ilvl w:val="0"/>
                <w:numId w:val="34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Zdalny mirroring do wskazanego adresu IP poprzez tunel - np. GRE</w:t>
            </w:r>
          </w:p>
          <w:p w14:paraId="5E2BC12F" w14:textId="77777777" w:rsidR="007B1E73" w:rsidRPr="007B1E73" w:rsidRDefault="007B1E73" w:rsidP="007B1E73">
            <w:pPr>
              <w:numPr>
                <w:ilvl w:val="0"/>
                <w:numId w:val="34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lastRenderedPageBreak/>
              <w:t>Możliwość mirroringu ruchu wybranego za pomocą listy kontroli dostępu ACL</w:t>
            </w:r>
          </w:p>
        </w:tc>
      </w:tr>
    </w:tbl>
    <w:p w14:paraId="224CFD5B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</w:p>
    <w:p w14:paraId="7EA041A1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</w:p>
    <w:p w14:paraId="6502B8D1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Nazwa i typ: ...............................................................................</w:t>
      </w:r>
    </w:p>
    <w:p w14:paraId="34792988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Producent / kraj produkcji: ........................................................</w:t>
      </w:r>
    </w:p>
    <w:p w14:paraId="273B06B2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Rok produkcji (min. 2025</w:t>
      </w:r>
      <w:proofErr w:type="gramStart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):  …</w:t>
      </w:r>
      <w:proofErr w:type="gramEnd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....................................................</w:t>
      </w:r>
    </w:p>
    <w:p w14:paraId="1E7CAEA9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</w:p>
    <w:tbl>
      <w:tblPr>
        <w:tblW w:w="84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45"/>
      </w:tblGrid>
      <w:tr w:rsidR="007B1E73" w:rsidRPr="007B1E73" w14:paraId="6ECC3FAF" w14:textId="77777777" w:rsidTr="002B5E29"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54A0" w14:textId="77777777" w:rsidR="007B1E73" w:rsidRPr="007B1E73" w:rsidRDefault="007B1E73" w:rsidP="007B1E73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B1E73"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  <w:t>PARAMETRY TECHNICZNE I EKSPLOATACYJNE</w:t>
            </w:r>
          </w:p>
        </w:tc>
      </w:tr>
    </w:tbl>
    <w:p w14:paraId="2CB41A4E" w14:textId="77777777" w:rsidR="007B1E73" w:rsidRPr="007B1E73" w:rsidRDefault="007B1E73" w:rsidP="007B1E7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  <w:t>WYKAZ PARAMETRÓW TECHNICZNYCH I UŻYTKOWYCH UPS DLA PRACOWNI HEMODYNAMIKI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5448"/>
      </w:tblGrid>
      <w:tr w:rsidR="007B1E73" w:rsidRPr="007B1E73" w14:paraId="67E8C093" w14:textId="77777777" w:rsidTr="002B5E29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463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Parametr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979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lang w:eastAsia="pl-PL"/>
                <w14:ligatures w14:val="none"/>
              </w:rPr>
              <w:t>Wymagania minimalne</w:t>
            </w:r>
          </w:p>
        </w:tc>
      </w:tr>
      <w:tr w:rsidR="007B1E73" w:rsidRPr="007B1E73" w14:paraId="1B4E4866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BB64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Moc pozorna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C0F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2000VA</w:t>
            </w:r>
          </w:p>
        </w:tc>
      </w:tr>
      <w:tr w:rsidR="007B1E73" w:rsidRPr="007B1E73" w14:paraId="2557F9C1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894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Moc rzeczywista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01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2000W</w:t>
            </w:r>
          </w:p>
        </w:tc>
      </w:tr>
      <w:tr w:rsidR="007B1E73" w:rsidRPr="007B1E73" w14:paraId="22DFC3DC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D35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Technologia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7A8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on-line (VFI), podwójna konwersja</w:t>
            </w:r>
          </w:p>
        </w:tc>
      </w:tr>
      <w:tr w:rsidR="007B1E73" w:rsidRPr="007B1E73" w14:paraId="6690F730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1DD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Sprawność przy pracy sieciowej i w pełni naładowanych bateriach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E6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  <w:t>˃</w:t>
            </w: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 91 %</w:t>
            </w:r>
          </w:p>
        </w:tc>
      </w:tr>
      <w:tr w:rsidR="007B1E73" w:rsidRPr="007B1E73" w14:paraId="497EFA8B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C7E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Sprawność w trybie ECO i w pełni naładowanych bateriach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8BB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  <w:t>˃</w:t>
            </w: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 96 %</w:t>
            </w:r>
          </w:p>
        </w:tc>
      </w:tr>
      <w:tr w:rsidR="007B1E73" w:rsidRPr="007B1E73" w14:paraId="717459F8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3D1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Typ obudowy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934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rack/tower</w:t>
            </w:r>
          </w:p>
        </w:tc>
      </w:tr>
      <w:tr w:rsidR="007B1E73" w:rsidRPr="007B1E73" w14:paraId="3CB12A0F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C6214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Wejście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4ACB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b/>
                <w:bCs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b/>
                <w:bCs/>
                <w:noProof w:val="0"/>
                <w:kern w:val="0"/>
                <w:lang w:eastAsia="pl-PL"/>
                <w14:ligatures w14:val="none"/>
              </w:rPr>
              <w:t> </w:t>
            </w:r>
          </w:p>
        </w:tc>
      </w:tr>
      <w:tr w:rsidR="007B1E73" w:rsidRPr="007B1E73" w14:paraId="02088860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2E5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Napięcie wejściowe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060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minimum 200/208/220/230/240 V AC </w:t>
            </w:r>
          </w:p>
        </w:tc>
      </w:tr>
      <w:tr w:rsidR="007B1E73" w:rsidRPr="007B1E73" w14:paraId="74C3AC4A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D28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Zakres napięcia wyjściowego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1670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160-300 VAC ± 3% @ 100% obciążenia</w:t>
            </w:r>
          </w:p>
        </w:tc>
      </w:tr>
      <w:tr w:rsidR="007B1E73" w:rsidRPr="007B1E73" w14:paraId="1C7DE5F2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86A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Częstotliwość napięcia wejściowego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32C7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40Hz - 70Hz</w:t>
            </w:r>
          </w:p>
        </w:tc>
      </w:tr>
      <w:tr w:rsidR="007B1E73" w:rsidRPr="007B1E73" w14:paraId="5E65E8D4" w14:textId="77777777" w:rsidTr="002B5E2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2CE3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Zakres napięcia wejściowego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E3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minimum 200 / 208 / 220 / 230 / 240 V AC </w:t>
            </w:r>
          </w:p>
        </w:tc>
      </w:tr>
      <w:tr w:rsidR="007B1E73" w:rsidRPr="007B1E73" w14:paraId="7AEFE1DB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1CC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Kształt napięcia wyjściowego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DE5A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sinusoidalny</w:t>
            </w:r>
          </w:p>
        </w:tc>
      </w:tr>
      <w:tr w:rsidR="007B1E73" w:rsidRPr="007B1E73" w14:paraId="34F969D5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37B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Współczynnik odkształceń prądu wejściowego THDi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884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&lt; 5%</w:t>
            </w:r>
          </w:p>
        </w:tc>
      </w:tr>
      <w:tr w:rsidR="007B1E73" w:rsidRPr="007B1E73" w14:paraId="6E057960" w14:textId="77777777" w:rsidTr="002B5E29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DEDF6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Wyjście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F18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b/>
                <w:bCs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b/>
                <w:bCs/>
                <w:noProof w:val="0"/>
                <w:kern w:val="0"/>
                <w:lang w:eastAsia="pl-PL"/>
                <w14:ligatures w14:val="none"/>
              </w:rPr>
              <w:t> </w:t>
            </w:r>
          </w:p>
        </w:tc>
      </w:tr>
      <w:tr w:rsidR="007B1E73" w:rsidRPr="007B1E73" w14:paraId="2D5DBBEA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8D5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Napięcie wyjściowe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F04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minimum 200 / 208 / 220 / 230 / 240 V AC </w:t>
            </w:r>
          </w:p>
        </w:tc>
      </w:tr>
      <w:tr w:rsidR="007B1E73" w:rsidRPr="007B1E73" w14:paraId="2A98E246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337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Regulacja napięcia w trybe bateryjnym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128F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± 1%</w:t>
            </w:r>
          </w:p>
        </w:tc>
      </w:tr>
      <w:tr w:rsidR="007B1E73" w:rsidRPr="007B1E73" w14:paraId="34687B0C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67AE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Częstotliwość napięcia wyjściowego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64A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50/60 Hz ± 0,1Hz</w:t>
            </w:r>
          </w:p>
        </w:tc>
      </w:tr>
      <w:tr w:rsidR="007B1E73" w:rsidRPr="007B1E73" w14:paraId="036109DD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3FFF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Współczynnik szczytu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BC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3:1</w:t>
            </w:r>
          </w:p>
        </w:tc>
      </w:tr>
      <w:tr w:rsidR="007B1E73" w:rsidRPr="007B1E73" w14:paraId="75BB52B2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1437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Czas przełączania sieć – bateria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CE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0ms</w:t>
            </w:r>
          </w:p>
        </w:tc>
      </w:tr>
      <w:tr w:rsidR="007B1E73" w:rsidRPr="007B1E73" w14:paraId="7D971873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5E84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Współczynnik odkształceń prądu wejściowego THD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E80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Cambria Math" w:eastAsia="Times New Roman" w:hAnsi="Cambria Math" w:cs="Cambria Math"/>
                <w:noProof w:val="0"/>
                <w:kern w:val="0"/>
                <w:lang w:eastAsia="pl-PL"/>
                <w14:ligatures w14:val="none"/>
              </w:rPr>
              <w:t>≦</w:t>
            </w: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 2 % (obciążenie liniowe); </w:t>
            </w:r>
            <w:r w:rsidRPr="007B1E73">
              <w:rPr>
                <w:rFonts w:ascii="Cambria Math" w:eastAsia="Times New Roman" w:hAnsi="Cambria Math" w:cs="Cambria Math"/>
                <w:noProof w:val="0"/>
                <w:kern w:val="0"/>
                <w:lang w:eastAsia="pl-PL"/>
                <w14:ligatures w14:val="none"/>
              </w:rPr>
              <w:t>≦</w:t>
            </w: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 4 % (obciążenie nieliniowe)</w:t>
            </w:r>
          </w:p>
        </w:tc>
      </w:tr>
      <w:tr w:rsidR="007B1E73" w:rsidRPr="007B1E73" w14:paraId="704AA68A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FD2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Kształt napięcia wyjściowego na pracy bateryjnej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180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sinusoidalny</w:t>
            </w:r>
          </w:p>
        </w:tc>
      </w:tr>
      <w:tr w:rsidR="007B1E73" w:rsidRPr="007B1E73" w14:paraId="61022AE8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016D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Baterie wewnętrzne w UPS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B833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12V 9Ah; szczelne, bezobsługowe</w:t>
            </w:r>
          </w:p>
        </w:tc>
      </w:tr>
      <w:tr w:rsidR="007B1E73" w:rsidRPr="007B1E73" w14:paraId="2D46A5D5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F0D5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Czas podtrzymania (dla 80 % Pmax) - przy zastosowaniu wyłącznie baterii wewnętrznych 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DA18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5 minut</w:t>
            </w:r>
          </w:p>
        </w:tc>
      </w:tr>
      <w:tr w:rsidR="007B1E73" w:rsidRPr="007B1E73" w14:paraId="770C7DD6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4B16D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Pozostałe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C4A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b/>
                <w:bCs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b/>
                <w:bCs/>
                <w:noProof w:val="0"/>
                <w:kern w:val="0"/>
                <w:lang w:eastAsia="pl-PL"/>
                <w14:ligatures w14:val="none"/>
              </w:rPr>
              <w:t> </w:t>
            </w:r>
          </w:p>
        </w:tc>
      </w:tr>
      <w:tr w:rsidR="007B1E73" w:rsidRPr="007B1E73" w14:paraId="0A62569A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DCB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Regulowany prąd ładowania baterii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2C0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od 2A do 8A</w:t>
            </w:r>
          </w:p>
        </w:tc>
      </w:tr>
      <w:tr w:rsidR="007B1E73" w:rsidRPr="007B1E73" w14:paraId="40564502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03EB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Wejście zasilania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547E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1 x IEC 320 C20 (16 A)</w:t>
            </w:r>
          </w:p>
        </w:tc>
      </w:tr>
      <w:tr w:rsidR="007B1E73" w:rsidRPr="007B1E73" w14:paraId="316CB044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3265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Ilość i typ gniazd wyjściowych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3046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 8x IEC 320 C13 (10 A), z czego minimum sekcja 4 gniazda sterowalna + IEC320 C19 (16A)</w:t>
            </w:r>
          </w:p>
        </w:tc>
      </w:tr>
      <w:tr w:rsidR="007B1E73" w:rsidRPr="007B1E73" w14:paraId="4E55D9B3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FB71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Sygnalizacja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F69E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Dźwiękowa, Wyświetlacz LCD (obracany)</w:t>
            </w:r>
          </w:p>
        </w:tc>
      </w:tr>
      <w:tr w:rsidR="007B1E73" w:rsidRPr="007B1E73" w14:paraId="5693D040" w14:textId="77777777" w:rsidTr="002B5E29">
        <w:trPr>
          <w:trHeight w:val="30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7ABF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Informacje wyświetlane na panelu LCD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DF9C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poziom obciążenia (w %),</w:t>
            </w:r>
          </w:p>
          <w:p w14:paraId="4A511E91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poziom naładowania baterii (w %),</w:t>
            </w:r>
          </w:p>
          <w:p w14:paraId="250E71A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praca z sieci/baterii/ładowanie baterii,</w:t>
            </w:r>
          </w:p>
          <w:p w14:paraId="362BBAE3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przeciążenie,</w:t>
            </w:r>
          </w:p>
          <w:p w14:paraId="46AD636B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niski poziom baterii,</w:t>
            </w:r>
          </w:p>
          <w:p w14:paraId="04CBC841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bateria nie podłączona,</w:t>
            </w:r>
          </w:p>
          <w:p w14:paraId="18CE2AE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tryb ECO/Bypass,</w:t>
            </w:r>
          </w:p>
          <w:p w14:paraId="38517A40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napięcie wej/wyj,</w:t>
            </w:r>
          </w:p>
          <w:p w14:paraId="28CBACE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częstotliwość wej/wyj,</w:t>
            </w:r>
          </w:p>
          <w:p w14:paraId="28B5414F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napięcie baterii,</w:t>
            </w:r>
          </w:p>
          <w:p w14:paraId="4C97454C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temperatura otoczenia,</w:t>
            </w:r>
          </w:p>
          <w:p w14:paraId="624A4707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wyłączenie dźwięku.</w:t>
            </w:r>
          </w:p>
        </w:tc>
      </w:tr>
      <w:tr w:rsidR="007B1E73" w:rsidRPr="007B1E73" w14:paraId="48EB1D10" w14:textId="77777777" w:rsidTr="002B5E29">
        <w:trPr>
          <w:trHeight w:val="3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18FD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Dostępne ustawienia z panelu LCD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97C6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ustawienie napięcia wyjściowego,</w:t>
            </w:r>
          </w:p>
          <w:p w14:paraId="043B5622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częstotiwości wyjściowej,</w:t>
            </w:r>
          </w:p>
          <w:p w14:paraId="7364099A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włączenie trybu ECO,</w:t>
            </w:r>
          </w:p>
          <w:p w14:paraId="5FD13C13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zakresu napięcia w trybie ECO,</w:t>
            </w:r>
          </w:p>
          <w:p w14:paraId="78FA8ABA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włączenie/wyłączenie trybu Bypass,</w:t>
            </w:r>
          </w:p>
          <w:p w14:paraId="3EA8FC01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zakresu napięcia w trybie Bypass,</w:t>
            </w:r>
          </w:p>
          <w:p w14:paraId="73D884B5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zakresu częstotliwości w trybie Bypass,</w:t>
            </w:r>
          </w:p>
          <w:p w14:paraId="5468057F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włączenie/wyłączenie sterowalnych gniazd,</w:t>
            </w:r>
          </w:p>
          <w:p w14:paraId="35A7A8C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czasu zasilania sterowalnych gniazd,</w:t>
            </w:r>
          </w:p>
          <w:p w14:paraId="7C030414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pojemności zainstalowanych baterii,</w:t>
            </w:r>
          </w:p>
          <w:p w14:paraId="1AC0640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prądu ładowania ładowarki,</w:t>
            </w:r>
          </w:p>
          <w:p w14:paraId="61CA6EFB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logiki EPO,</w:t>
            </w:r>
          </w:p>
          <w:p w14:paraId="2E10787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włączenie autotestu.</w:t>
            </w:r>
          </w:p>
        </w:tc>
      </w:tr>
      <w:tr w:rsidR="007B1E73" w:rsidRPr="007B1E73" w14:paraId="017B7222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DDDA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Możliwość podłączenia dodatkowych, zewnętrznych modułów bateryjnych (producenta)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FBBE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wymagane</w:t>
            </w:r>
          </w:p>
        </w:tc>
      </w:tr>
      <w:tr w:rsidR="007B1E73" w:rsidRPr="007B1E73" w14:paraId="0B98ADF4" w14:textId="77777777" w:rsidTr="002B5E29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281D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Możliwość podłączenia dodatkowych, zewnętrznych baterii o pojemności powyżej 9Ah za pomocą kabla dostarczanego przez producenta. Kabel powinien być wyposażony z jednej strony we </w:t>
            </w: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wtyk pasujący do UPSa a z drugiej strony w tulejki oczkowe. 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F5A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lastRenderedPageBreak/>
              <w:t>wymagane</w:t>
            </w:r>
          </w:p>
        </w:tc>
      </w:tr>
      <w:tr w:rsidR="007B1E73" w:rsidRPr="007B1E73" w14:paraId="5B75C0BC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1FA9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Interfejs komunikacyjny - każdy jako osobne gniazdo/złącze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952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RS232,</w:t>
            </w:r>
          </w:p>
          <w:p w14:paraId="34AC9FB6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USB,</w:t>
            </w:r>
          </w:p>
          <w:p w14:paraId="5D77E414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SNMP</w:t>
            </w:r>
          </w:p>
        </w:tc>
      </w:tr>
      <w:tr w:rsidR="007B1E73" w:rsidRPr="007B1E73" w14:paraId="6011CA40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499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Karta SNMP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C56E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wymagana uniwersalna karta dla UPS 1-fazowych i 3-fazowych tego samego producenta.</w:t>
            </w:r>
          </w:p>
        </w:tc>
      </w:tr>
      <w:tr w:rsidR="007B1E73" w:rsidRPr="007B1E73" w14:paraId="213A885A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E96B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Zabezpieczenia 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47E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przeciwzwarciowe, przeciwprzepięciowe, przeciążeniowe.</w:t>
            </w:r>
          </w:p>
        </w:tc>
      </w:tr>
      <w:tr w:rsidR="007B1E73" w:rsidRPr="007B1E73" w14:paraId="2FB8276B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AF79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Złącze EPO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9970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wymagane</w:t>
            </w:r>
          </w:p>
        </w:tc>
      </w:tr>
      <w:tr w:rsidR="007B1E73" w:rsidRPr="007B1E73" w14:paraId="03556DA5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0385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Wsporniki/szyny do montażu w szafie rack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261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wymagane</w:t>
            </w:r>
          </w:p>
        </w:tc>
      </w:tr>
      <w:tr w:rsidR="007B1E73" w:rsidRPr="007B1E73" w14:paraId="10A3DA3A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493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Waga UPS z bateriami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501B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do 21 kg</w:t>
            </w:r>
          </w:p>
        </w:tc>
      </w:tr>
      <w:tr w:rsidR="007B1E73" w:rsidRPr="007B1E73" w14:paraId="4A020DB4" w14:textId="77777777" w:rsidTr="002B5E29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A24F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Wymiary UPS - wersja RACK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963A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nie większe niż: wysokość 2U; głębokość 510 mm</w:t>
            </w:r>
          </w:p>
        </w:tc>
      </w:tr>
      <w:tr w:rsidR="007B1E73" w:rsidRPr="007B1E73" w14:paraId="764C7D20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9C0A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Gwarancja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9D2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minimum 24 miesiące na elektronikę i 24 miesiące na akumulatory; </w:t>
            </w:r>
          </w:p>
        </w:tc>
      </w:tr>
      <w:tr w:rsidR="007B1E73" w:rsidRPr="007B1E73" w14:paraId="1F8320D5" w14:textId="77777777" w:rsidTr="002B5E29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2B89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AC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autoryzowany serwis producenta zlokalizowany w Polsce,</w:t>
            </w:r>
          </w:p>
        </w:tc>
      </w:tr>
      <w:tr w:rsidR="007B1E73" w:rsidRPr="007B1E73" w14:paraId="790A4C71" w14:textId="77777777" w:rsidTr="002B5E29">
        <w:trPr>
          <w:trHeight w:val="301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F545D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241E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naprawa w maksymalnie 5 dni roboczych,</w:t>
            </w:r>
          </w:p>
        </w:tc>
      </w:tr>
      <w:tr w:rsidR="007B1E73" w:rsidRPr="007B1E73" w14:paraId="46A3DBC5" w14:textId="77777777" w:rsidTr="002B5E29">
        <w:trPr>
          <w:trHeight w:val="300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37813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2F78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serwis realizowany w systemie door to door,</w:t>
            </w:r>
          </w:p>
        </w:tc>
      </w:tr>
      <w:tr w:rsidR="007B1E73" w:rsidRPr="007B1E73" w14:paraId="5F138B80" w14:textId="77777777" w:rsidTr="002B5E29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F1DB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Oprogramowanie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1782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oprogramowanie w języku polskim do zarządzania i monitorowania pracy UPS,</w:t>
            </w:r>
          </w:p>
        </w:tc>
      </w:tr>
      <w:tr w:rsidR="007B1E73" w:rsidRPr="007B1E73" w14:paraId="33A710FC" w14:textId="77777777" w:rsidTr="002B5E29">
        <w:trPr>
          <w:trHeight w:val="301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8CF6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7C95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jedno wspólne oprogramowanie do zarzadzania UPSami 1-fazowymi i 3-fazowymi tego samego producenta,</w:t>
            </w:r>
          </w:p>
        </w:tc>
      </w:tr>
      <w:tr w:rsidR="007B1E73" w:rsidRPr="007B1E73" w14:paraId="5ACCFAAE" w14:textId="77777777" w:rsidTr="002B5E29">
        <w:trPr>
          <w:trHeight w:val="301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35782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F1E7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wsparcie dla systemów: Windows, Linux,</w:t>
            </w:r>
          </w:p>
        </w:tc>
      </w:tr>
      <w:tr w:rsidR="007B1E73" w:rsidRPr="007B1E73" w14:paraId="0756F511" w14:textId="77777777" w:rsidTr="002B5E29">
        <w:trPr>
          <w:trHeight w:val="525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4B9B996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50D5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wymagane wsparcie producenta w języku polskim (telefoniczne oraz mailowe).</w:t>
            </w:r>
          </w:p>
        </w:tc>
      </w:tr>
      <w:tr w:rsidR="007B1E73" w:rsidRPr="007B1E73" w14:paraId="1A5CC640" w14:textId="77777777" w:rsidTr="002B5E29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04400E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Oświadczenia / dokumenty (załączyć do oferty)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195F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oświadczenie producenta lub wyłącznego dystrybutora o spełnieniu minimalnych wymaganych parametrów specyfikacji,</w:t>
            </w:r>
          </w:p>
          <w:p w14:paraId="284C4BDF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dla gwarancja standardowej lub rozszerzonej wymagane jest by realizowana była wyłącznie przez autoryzowany serwis producenta - należy przedstawić odpowiednie oświadczenie producenta lub wyłącznego dystrybutora,</w:t>
            </w:r>
          </w:p>
          <w:p w14:paraId="12077551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certyfikat lub oświadczenie producenta lub wyłącznego dystrybutora o posiadaniu przez oferenta statusu Autoryzowanego Partnera - mającego wiedzę w zakresie doboru i sprzedaży zasilania gwarantowanego (UPS) jeżeli oferent nie jest producentem sprzętu,</w:t>
            </w:r>
          </w:p>
          <w:p w14:paraId="432C6CF5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deklaracja zgodności CE.</w:t>
            </w:r>
          </w:p>
        </w:tc>
      </w:tr>
    </w:tbl>
    <w:p w14:paraId="742E5785" w14:textId="77777777" w:rsidR="007B1E73" w:rsidRP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30E07417" w14:textId="77777777" w:rsid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4520E422" w14:textId="77777777" w:rsid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444D6740" w14:textId="77777777" w:rsidR="007B1E73" w:rsidRP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2DD26A0D" w14:textId="77777777" w:rsidR="007B1E73" w:rsidRPr="007B1E73" w:rsidRDefault="007B1E73" w:rsidP="007B1E73">
      <w:pPr>
        <w:spacing w:before="100" w:beforeAutospacing="1" w:after="0" w:line="240" w:lineRule="auto"/>
        <w:ind w:left="363" w:hanging="363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u w:val="single"/>
          <w:lang w:eastAsia="pl-PL"/>
          <w14:ligatures w14:val="none"/>
        </w:rPr>
        <w:lastRenderedPageBreak/>
        <w:t>OPIS URZĄDZEŃ KONTROLI SIECI TN-S I IT:</w:t>
      </w:r>
    </w:p>
    <w:p w14:paraId="7C3B4A70" w14:textId="77777777" w:rsidR="007B1E73" w:rsidRPr="007B1E73" w:rsidRDefault="007B1E73" w:rsidP="007B1E73">
      <w:pPr>
        <w:spacing w:before="100" w:beforeAutospacing="1" w:after="0" w:line="360" w:lineRule="auto"/>
        <w:ind w:left="363" w:firstLine="346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Dla zagwarantowania wysokiego stopnia bezpieczeństwa zasilania w szpitalu muszą być zastosowane urządzenia kontrolne do kontroli sieci TN-S i IT spełniające wymagania norm:</w:t>
      </w:r>
    </w:p>
    <w:p w14:paraId="09A3A31A" w14:textId="77777777" w:rsidR="007B1E73" w:rsidRPr="007B1E73" w:rsidRDefault="007B1E73" w:rsidP="007B1E73">
      <w:pPr>
        <w:numPr>
          <w:ilvl w:val="0"/>
          <w:numId w:val="3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l-PL"/>
          <w14:ligatures w14:val="none"/>
        </w:rPr>
        <w:t>PN-HD 60364-7-710. Maj 2012. Instalacje elektryczne niskiego napięcia -- Część 7-710: Wymagania dotyczące specjalnych instalacji lub lokalizacji -- Pomieszczenia medyczne;</w:t>
      </w:r>
    </w:p>
    <w:p w14:paraId="65B4CC06" w14:textId="77777777" w:rsidR="007B1E73" w:rsidRPr="007B1E73" w:rsidRDefault="007B1E73" w:rsidP="007B1E73">
      <w:pPr>
        <w:numPr>
          <w:ilvl w:val="0"/>
          <w:numId w:val="3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l-PL"/>
          <w14:ligatures w14:val="none"/>
        </w:rPr>
        <w:t>PN-EN 61557-8. Październik 2007. Bezpieczeństwo elektryczne w niskonapięciowych sieciach elektroenergetycznych o napięciach przemiennych do 1000V i stałych do 1500V -- Urządzenia przeznaczone do sprawdzania, pomiarów lub monitorowania środków ochronnych -- Część 8: Urządzenia do monitorowania stanu izolacji w sieciach IT. Anex A: Medyczne urządzenia kontroli izolacji;</w:t>
      </w:r>
    </w:p>
    <w:p w14:paraId="6403E921" w14:textId="77777777" w:rsidR="007B1E73" w:rsidRPr="007B1E73" w:rsidRDefault="007B1E73" w:rsidP="007B1E73">
      <w:pPr>
        <w:numPr>
          <w:ilvl w:val="0"/>
          <w:numId w:val="3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l-PL"/>
          <w14:ligatures w14:val="none"/>
        </w:rPr>
        <w:t>PN-EN 61557-9. Maj 2009. Bezpieczeństwo elektryczne w niskonapięciowych sieciach elektroenergetycznych o napięciach przemiennych do 1000V i stałych do 1500V -- Urządzenia przeznaczone do sprawdzania, pomiarów lub monitorowania środków ochronnych - Część 9: Urządzenia do lokalizacji uszkodzenia izolacji w sieciach IT. Anex A: Urządzenia do lokalizacji doziemień w pomieszczeniach medycznych;</w:t>
      </w:r>
    </w:p>
    <w:p w14:paraId="051386DC" w14:textId="77777777" w:rsidR="007B1E73" w:rsidRPr="007B1E73" w:rsidRDefault="007B1E73" w:rsidP="007B1E73">
      <w:pPr>
        <w:numPr>
          <w:ilvl w:val="0"/>
          <w:numId w:val="3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l-PL"/>
          <w14:ligatures w14:val="none"/>
        </w:rPr>
        <w:t>PN-EN 61558-2-15. Kwiecień 2012. Bezpieczeństwo użytkowania transformatorów, dławików, zasilaczy i zespołów takich urządzeń. – Część 2-15: Wymagania szczegółowe i badania dotyczące transformatorów separacyjnych do zasilania pomieszczeń medycznych.</w:t>
      </w:r>
    </w:p>
    <w:p w14:paraId="592960AA" w14:textId="77777777" w:rsidR="007B1E73" w:rsidRPr="007B1E73" w:rsidRDefault="007B1E73" w:rsidP="007B1E73">
      <w:pPr>
        <w:spacing w:before="100" w:beforeAutospacing="1" w:after="0" w:line="360" w:lineRule="auto"/>
        <w:ind w:left="714" w:hanging="357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236E432F" w14:textId="77777777" w:rsidR="007B1E73" w:rsidRPr="007B1E73" w:rsidRDefault="007B1E73" w:rsidP="007B1E73">
      <w:pPr>
        <w:spacing w:before="100" w:beforeAutospacing="1" w:after="0" w:line="360" w:lineRule="auto"/>
        <w:ind w:left="714" w:hanging="357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58142B5A" w14:textId="77777777" w:rsidR="007B1E73" w:rsidRPr="007B1E73" w:rsidRDefault="007B1E73" w:rsidP="007B1E73">
      <w:pPr>
        <w:spacing w:before="100" w:beforeAutospacing="1" w:after="0" w:line="360" w:lineRule="auto"/>
        <w:ind w:left="363" w:firstLine="346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Dla zagwarantowania wysokiego stopnia bezpieczeństwa pacjentów i personelu dla wybranych pomieszczeń zwanych pomieszczeniami grupy 2 stosowane muszą być urządzenia o następujących wymaganiach: </w:t>
      </w:r>
    </w:p>
    <w:p w14:paraId="18D00E43" w14:textId="77777777" w:rsidR="007B1E73" w:rsidRPr="007B1E73" w:rsidRDefault="007B1E73" w:rsidP="007B1E73">
      <w:pPr>
        <w:numPr>
          <w:ilvl w:val="0"/>
          <w:numId w:val="3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Zintegrowany moduł przełączająco-kontrolny dla pomieszczeń grupy 2 zgodny z </w:t>
      </w: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br/>
        <w:t>PN-HD 60364-7-710:2012, PN-EN 61508:2010, PN-EN61557-8:2007 i PN-EN 61557-9:2009:</w:t>
      </w:r>
    </w:p>
    <w:p w14:paraId="00BFEFC5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lastRenderedPageBreak/>
        <w:t>Diagnostyka układu poprzez sprawdzanie wszystkich jego elementów zgodnie z PN-EN 61508 na poziomie min. SIL2</w:t>
      </w:r>
    </w:p>
    <w:p w14:paraId="5E5DFA5C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Potwierdzenie poziom bezpieczeństwa SIL2 wymagane certyfikatem, wystawionym przez jednostkę uprawnioną do wystawienia tego certyfikatu</w:t>
      </w:r>
    </w:p>
    <w:p w14:paraId="565A7230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Kontrola napięcia na linii zasilania normalnego (linia podstawowa) wraz z wyświetleniem wartości napięcia i częstotliwości</w:t>
      </w:r>
    </w:p>
    <w:p w14:paraId="66DB8DC7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Kontrola napięcia na linii zasilania ze źródła bezpiecznego zasilania (linia rezerwowa) wraz z wyświetleniem wartości napięcia i częstotliwości</w:t>
      </w:r>
    </w:p>
    <w:p w14:paraId="0FDAEC2E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Kontrola napięcia na szynach rozdzielnicy (za SZRem) </w:t>
      </w:r>
    </w:p>
    <w:p w14:paraId="5CA34EDE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Pomiar prądu za układem przełączającym dla uniemożliwienia przełączenia zwarcia (wraz z sygnalizacją stanu zwarcia)</w:t>
      </w:r>
    </w:p>
    <w:p w14:paraId="0015704C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Układ przełączający bez możliwości zgrzania styków z czasem przełączenia &lt;0,4s</w:t>
      </w:r>
    </w:p>
    <w:p w14:paraId="5181B853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Nie dopuszcza się stosowania rozłączników izolacyjnych z dołączanym napędem silnikowym</w:t>
      </w:r>
    </w:p>
    <w:p w14:paraId="78892224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Możliwość ręcznego przełączenia zasilania i blokowania mechanicznego (np. poprzez kłódkę lub plombę)</w:t>
      </w:r>
    </w:p>
    <w:p w14:paraId="3FEFAC53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Bypass serwisowy do bezprzerwowego przeprowadzania testów lub wymiany urządzenia z wymaganym załączeniem bypassu w czasie &lt;3s.</w:t>
      </w:r>
    </w:p>
    <w:p w14:paraId="68B2BFB2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Sygnalizacja o pracy w trybie ręcznego przełączania i po załączeniu bypassu (także na kasecie sygnalizacyjnej)</w:t>
      </w:r>
    </w:p>
    <w:p w14:paraId="2C70FDCF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Sygnalizacja graficzna położenia przełącznika SZR (wskazanie graficzne na której linii jest przełącznik) </w:t>
      </w:r>
    </w:p>
    <w:p w14:paraId="05C5C87E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Możliwość współpracy z agregatem (poprzez jego załączenie)</w:t>
      </w:r>
    </w:p>
    <w:p w14:paraId="0FA93888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Nastawy napięć w zakresie: 160…207V dla spadków napięcia i 240…275V dla wzrostu napięcia</w:t>
      </w:r>
    </w:p>
    <w:p w14:paraId="69EA7A11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Nastawialny czas zwłoki przełączenia linii podstawowej na rezerwową w zakresie 50ms do 100s</w:t>
      </w:r>
    </w:p>
    <w:p w14:paraId="6359D503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Nastawialny czas powrotu na linię podstawową w zakresie 200ms do 100s</w:t>
      </w:r>
    </w:p>
    <w:p w14:paraId="084DB114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Współpraca z kasetą sygnalizacyjną – przesłanie cyfrowo informacji o zaistniałych stanach alarmowych (RS485)</w:t>
      </w:r>
    </w:p>
    <w:p w14:paraId="278F0FB4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Kontrola SZRu poprzez automatyczny test z wyświetleniem czasu przełączenia z linii 1 na linię 2</w:t>
      </w:r>
    </w:p>
    <w:p w14:paraId="365A3226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Galwaniczne oddzielenie linii zasilających w celu uniknięcia przeniesienia zwarcia z jednej linii na drugą.</w:t>
      </w:r>
    </w:p>
    <w:p w14:paraId="3D42B9C4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lastRenderedPageBreak/>
        <w:t>Wymagana metoda pomiarowa przekaźnika kontroli stanu izolacji (izometru) jako aktywna, impulsowa – umożliwiająca pomiar rezystancji izolacji i wykrycie doziemnienia także w sieci z dołączonymi obwodami prądu stałego (DC) - (zgodnie z PN-EN61557-8:2007).</w:t>
      </w:r>
    </w:p>
    <w:p w14:paraId="43DD6580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Rezystancja wewnętrzna izometru Rwewn. &gt; 100kΩ,</w:t>
      </w:r>
    </w:p>
    <w:p w14:paraId="1F8BBC6A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Napięcie pomiarowe izometru U &lt; 15V DC,</w:t>
      </w:r>
    </w:p>
    <w:p w14:paraId="4EC7EAF9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Pomiar rezystancji izolacji prądem &lt;150µA; nawet przy pełnym doziemieniu</w:t>
      </w:r>
    </w:p>
    <w:p w14:paraId="668E42B3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proofErr w:type="gramStart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Sygnalizacja</w:t>
      </w:r>
      <w:proofErr w:type="gramEnd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gdy R ≤ 50kΩ (nie może być możliwości nastawienia mniejszej wartości niż 50kΩ)</w:t>
      </w:r>
    </w:p>
    <w:p w14:paraId="7AA1AA9C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Dopuszczalna pojemność sieci kontrolowanej do 5µF</w:t>
      </w:r>
    </w:p>
    <w:p w14:paraId="271B1DDB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Czas reakcji powinien być &lt;</w:t>
      </w:r>
      <w:proofErr w:type="gramStart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5s</w:t>
      </w:r>
      <w:proofErr w:type="gramEnd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jeśli rezystancja izolacji obniży się nagle do 25kΩ (50% z 50kΩ).</w:t>
      </w:r>
    </w:p>
    <w:p w14:paraId="565525B6" w14:textId="77777777" w:rsidR="007B1E73" w:rsidRPr="007B1E73" w:rsidRDefault="007B1E73" w:rsidP="007B1E73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Wyłączenie alarmu powinno nastąpić w ciągu </w:t>
      </w:r>
      <w:proofErr w:type="gramStart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5s</w:t>
      </w:r>
      <w:proofErr w:type="gramEnd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jeśli rezystancja izolacji nagle wzrośnie od 25kΩ do 10MΩ (zgodnie z PN-EN61557-8:2007).</w:t>
      </w:r>
    </w:p>
    <w:p w14:paraId="1B949814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Kontrola połączenia izometru z siecią i przewodem PE (zalecane przez PN-HD 60364-7-710:2012 i PN-EN 61557-8:2007)</w:t>
      </w:r>
    </w:p>
    <w:p w14:paraId="2E9AEC64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Pomiar prądu obciążenia: </w:t>
      </w:r>
      <w:proofErr w:type="gramStart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sygnalizacja</w:t>
      </w:r>
      <w:proofErr w:type="gramEnd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gdy prąd ≥ In (zgodnie z PN-EN 61557-8:2007)</w:t>
      </w:r>
    </w:p>
    <w:p w14:paraId="086B89DB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Ciągły pomiar temperatury uzwojeń transformatora (wymaganie PN-HD 60364-7-710:2012 oraz PN-EN 61557-8:2007: </w:t>
      </w:r>
      <w:proofErr w:type="gramStart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sygnalizacja</w:t>
      </w:r>
      <w:proofErr w:type="gramEnd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gdy temperatura przekroczy dopuszczalną)</w:t>
      </w:r>
    </w:p>
    <w:p w14:paraId="20943BA6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Przycisk „TEST” umożliwiający przetestowanie przekaźnika kontroli stanu izolacji</w:t>
      </w:r>
    </w:p>
    <w:p w14:paraId="71C125C5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Programowalne wejście cyfrowe i wyjście przekaźnikowe</w:t>
      </w:r>
    </w:p>
    <w:p w14:paraId="19D2E7F0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Współpraca z systemem lokalizacji doziemień (wbudowane urządzenie testowe)</w:t>
      </w:r>
    </w:p>
    <w:p w14:paraId="4B188EEB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Współpraca z przekaźnikiem kontroli izolacji dla lamp operacyjnych</w:t>
      </w:r>
    </w:p>
    <w:p w14:paraId="082FB813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Historia zdarzeń (alarmów).</w:t>
      </w:r>
    </w:p>
    <w:p w14:paraId="29B55731" w14:textId="77777777" w:rsidR="007B1E73" w:rsidRPr="007B1E73" w:rsidRDefault="007B1E73" w:rsidP="007B1E73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2CDEC5AC" w14:textId="77777777" w:rsidR="007B1E73" w:rsidRPr="007B1E73" w:rsidRDefault="007B1E73" w:rsidP="007B1E73">
      <w:pPr>
        <w:numPr>
          <w:ilvl w:val="0"/>
          <w:numId w:val="3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>Transformator medyczny:</w:t>
      </w:r>
    </w:p>
    <w:p w14:paraId="79522D46" w14:textId="77777777" w:rsidR="007B1E73" w:rsidRPr="007B1E73" w:rsidRDefault="007B1E73" w:rsidP="007B1E73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Napięcie po stronie wtórnej transformatora Un &lt; 250V (wymaganie PN-HD 60364-7-710:2012)</w:t>
      </w:r>
    </w:p>
    <w:p w14:paraId="609FD5CE" w14:textId="77777777" w:rsidR="007B1E73" w:rsidRPr="007B1E73" w:rsidRDefault="007B1E73" w:rsidP="007B1E73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lastRenderedPageBreak/>
        <w:t>Prąd biegu jałowego i napięcie zwarcia: &lt; 3 % (wymaganie PN-EN 61558-2-15)</w:t>
      </w:r>
    </w:p>
    <w:p w14:paraId="6EDA37F2" w14:textId="77777777" w:rsidR="007B1E73" w:rsidRPr="007B1E73" w:rsidRDefault="007B1E73" w:rsidP="007B1E73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Prąd upływu po stronie wtórnej &lt; 0,5 mA (wymaganie PN-HD 60364-7-710:2012)</w:t>
      </w:r>
    </w:p>
    <w:p w14:paraId="44A11F46" w14:textId="77777777" w:rsidR="007B1E73" w:rsidRPr="007B1E73" w:rsidRDefault="007B1E73" w:rsidP="007B1E73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Prąd załączania &lt; 12xIn (wartość maksymalna) - wymaganie PN-EN 61558-2-15</w:t>
      </w:r>
    </w:p>
    <w:p w14:paraId="74398AAE" w14:textId="77777777" w:rsidR="007B1E73" w:rsidRPr="007B1E73" w:rsidRDefault="007B1E73" w:rsidP="007B1E73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5E8A35A3" w14:textId="77777777" w:rsidR="007B1E73" w:rsidRPr="007B1E73" w:rsidRDefault="007B1E73" w:rsidP="007B1E73">
      <w:pPr>
        <w:numPr>
          <w:ilvl w:val="0"/>
          <w:numId w:val="4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>Panel kontrolno-sygnalizacyjny – dotykowy (dla sal operacyjnych):</w:t>
      </w:r>
    </w:p>
    <w:p w14:paraId="773894F0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Dotykowy ekran min. 15”</w:t>
      </w:r>
    </w:p>
    <w:p w14:paraId="50B6BC83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Kolor zielony sygnalizujący normalny stan pracy (wymaganie PN-HD 60364-7-710:2012),</w:t>
      </w:r>
    </w:p>
    <w:p w14:paraId="0D6ADB37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Kolor żółty sygnalizujący, gdy osiągnięty zostanie poziom minimalnej rezystancji izolacji przekaźnika (wymaganie PN-HD 60364-7-710:2012) – nie może być możliwości jej wyłączenia,</w:t>
      </w:r>
    </w:p>
    <w:p w14:paraId="5768767D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Alarm akustyczny, gdy osiągnięty zostanie poziom minimalnej rezystancji izolacji przekaźnika – ten alarm może być wyłączony (wymaganie PN-HD 60364-7-710:2012),</w:t>
      </w:r>
    </w:p>
    <w:p w14:paraId="5D968B60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Kolor żółty sygnalizacji musi zgasnąć, gdy usunięta zostanie przyczyna alarmu (wymaganie PN-HD 60364-7-710:2012),</w:t>
      </w:r>
    </w:p>
    <w:p w14:paraId="736DC647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Wskazanie wartości prądu obciążenia transformatora przy normalnej pracy sieci.</w:t>
      </w:r>
    </w:p>
    <w:p w14:paraId="555C7AEB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Wyświetlanie alarmów z instalacji gazów medycznych (m.in. test, alarm) </w:t>
      </w:r>
    </w:p>
    <w:p w14:paraId="57E45D37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Sterowanie systemem klima-went. (zmiana trybu pracy, nastawa temp., wyświetlanie temp.) </w:t>
      </w:r>
    </w:p>
    <w:p w14:paraId="6ED8EAA2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Wyświetlanie alarmów z UPSa </w:t>
      </w:r>
    </w:p>
    <w:p w14:paraId="12AE3906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Sterowanie oświetleniem (zał/wył - 2 obwody) także z możliwością sterowania poprzez sterownik DALI</w:t>
      </w:r>
    </w:p>
    <w:p w14:paraId="40CE4B82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Zegar: możliwość wyboru pomiędzy widokiem zegara w wersji cyfrowej i analogowej</w:t>
      </w:r>
    </w:p>
    <w:p w14:paraId="45339A23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Cyfrowy stoper i minutnik,</w:t>
      </w:r>
    </w:p>
    <w:p w14:paraId="67ACF75F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Jako opcja: sterowanie audio na sali (radio internetowe, aplikacje muzyczne).</w:t>
      </w:r>
    </w:p>
    <w:p w14:paraId="719ADC5D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Konfigurowalna wizualizacja systemu z 20 podstronami</w:t>
      </w:r>
    </w:p>
    <w:p w14:paraId="5D04C85B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Wizualizacja schematu rozdzielni</w:t>
      </w:r>
    </w:p>
    <w:p w14:paraId="1B872C8B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Podgląd z ekranu panelu na cały system komunikacyjny</w:t>
      </w:r>
    </w:p>
    <w:p w14:paraId="2BC49009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Wbudowany konwerter komunikacyjny TCP z Web Serwerem – obsługiwane protokoły: TCP/IP, Modbus RTU, DHCP, SMTP, NTP, wiadomość e-mail w przypadku alarmu</w:t>
      </w:r>
    </w:p>
    <w:p w14:paraId="2ED6844F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lastRenderedPageBreak/>
        <w:t>Wyjście Modbus RTU (Master)</w:t>
      </w:r>
    </w:p>
    <w:p w14:paraId="769E98C6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12 wejść cyfrowych programowalnych, wyjście cyfrowe programowalne</w:t>
      </w:r>
    </w:p>
    <w:p w14:paraId="3D57C81C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bookmarkStart w:id="2" w:name="_Hlk156804645"/>
      <w:bookmarkEnd w:id="2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Przycisk „clean” do bezpiecznego czyszczenia panelu – wstrzymuje on pracę przycisków na panelu</w:t>
      </w:r>
    </w:p>
    <w:p w14:paraId="6BA4AE77" w14:textId="77777777" w:rsidR="007B1E73" w:rsidRPr="007B1E73" w:rsidRDefault="007B1E73" w:rsidP="007B1E73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27C5F255" w14:textId="77777777" w:rsidR="007B1E73" w:rsidRPr="007B1E73" w:rsidRDefault="007B1E73" w:rsidP="007B1E73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6FEE7E51" w14:textId="77777777" w:rsidR="007B1E73" w:rsidRPr="007B1E73" w:rsidRDefault="007B1E73" w:rsidP="007B1E73">
      <w:pPr>
        <w:numPr>
          <w:ilvl w:val="0"/>
          <w:numId w:val="4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>Kaseta sygnalizacyjna:</w:t>
      </w:r>
    </w:p>
    <w:p w14:paraId="2B70E8A8" w14:textId="77777777" w:rsidR="007B1E73" w:rsidRPr="007B1E73" w:rsidRDefault="007B1E73" w:rsidP="007B1E73">
      <w:pPr>
        <w:numPr>
          <w:ilvl w:val="0"/>
          <w:numId w:val="4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Zielona lampka sygnalizująca normalny stan pracy (wymaganie PN-HD 60364-7-710:2012),</w:t>
      </w:r>
    </w:p>
    <w:p w14:paraId="259A38FE" w14:textId="77777777" w:rsidR="007B1E73" w:rsidRPr="007B1E73" w:rsidRDefault="007B1E73" w:rsidP="007B1E73">
      <w:pPr>
        <w:numPr>
          <w:ilvl w:val="0"/>
          <w:numId w:val="4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Żółta lampka sygnalizująca, gdy osiągnięty zostanie poziom minimalnej rezystancji izolacji przekaźnika (wymaganie PN-HD 60364-7-710:2012) – nie może być możliwości jej wyłączenia,</w:t>
      </w:r>
    </w:p>
    <w:p w14:paraId="28893873" w14:textId="77777777" w:rsidR="007B1E73" w:rsidRPr="007B1E73" w:rsidRDefault="007B1E73" w:rsidP="007B1E73">
      <w:pPr>
        <w:numPr>
          <w:ilvl w:val="0"/>
          <w:numId w:val="4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Alarm akustyczny, gdy osiągnięty zostanie poziom minimalnej rezystancji izolacji przekaźnika – ten alarm może być wyłączony (wymaganie PN-HD 60364-7-710:2012),</w:t>
      </w:r>
    </w:p>
    <w:p w14:paraId="334754E4" w14:textId="77777777" w:rsidR="007B1E73" w:rsidRPr="007B1E73" w:rsidRDefault="007B1E73" w:rsidP="007B1E73">
      <w:pPr>
        <w:numPr>
          <w:ilvl w:val="0"/>
          <w:numId w:val="4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Jeśli drugi alarm zostanie odebrany, podczas gdy pierwszy jest jeszcze w toku, sygnał dźwiękowy rozlegnie się ponownie, a wiadomości będą się pojawiać naprzemiennie na wyświetlaczu. Można również wyświetlić adres urządzenia wyzwalającego alarm. Sygnał dźwiękowy rozlegnie się ponownie po upływie konfigurowalnego okresu czasu (powtarzanie można dezaktywować)</w:t>
      </w:r>
    </w:p>
    <w:p w14:paraId="529082BF" w14:textId="77777777" w:rsidR="007B1E73" w:rsidRPr="007B1E73" w:rsidRDefault="007B1E73" w:rsidP="007B1E73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Żółta lampka musi zgasnąć, gdy usunięta zostanie przyczyna alarmu (wymaganie PN-HD 60364-7-710:2012),</w:t>
      </w:r>
    </w:p>
    <w:p w14:paraId="0CF4C403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Ciekłokrystaliczny ekran dotykowy min. 4”</w:t>
      </w:r>
    </w:p>
    <w:p w14:paraId="25106CC6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Podczas alarmu powinno pokazywać się okienko (popup) z informacją o alarmie. Nie dopuszcza się zmiany koloru całego ekranu.</w:t>
      </w:r>
    </w:p>
    <w:p w14:paraId="0229BEED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Wskazanie wartości prądu obciążenia transformatora przy normalnej pracy sieci.</w:t>
      </w:r>
    </w:p>
    <w:p w14:paraId="168E3928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Wskazanie czasu rzeczywistego, </w:t>
      </w:r>
    </w:p>
    <w:p w14:paraId="693369B4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Stoper i minutnik,</w:t>
      </w:r>
    </w:p>
    <w:p w14:paraId="746B1BBE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Min. 12 wejść cyfrowych</w:t>
      </w:r>
    </w:p>
    <w:p w14:paraId="4C1443CE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2 wyjścia programowalne</w:t>
      </w:r>
    </w:p>
    <w:p w14:paraId="407A125F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lastRenderedPageBreak/>
        <w:t>Możliwość programowania i wyświetlania informacji alarmowych z innych elementów sieci elektrycznej (np. układu lokalizacji doziemień, gazów medycznych, UPSów)</w:t>
      </w:r>
    </w:p>
    <w:p w14:paraId="261FACDE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Programowanie parametrów i wpisywanie własnych tekstów alarmowych poprzez gniazdo RJ45 ETHERNET</w:t>
      </w:r>
    </w:p>
    <w:p w14:paraId="283778C6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Programowanie nastaw bezdotykowo poprzez NFC (z smartphone).</w:t>
      </w:r>
    </w:p>
    <w:p w14:paraId="7320F947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Przycisk „clean” do bezpiecznego czyszczenia kasety – wstrzymuje on pracę przycisków na kasecie,</w:t>
      </w:r>
    </w:p>
    <w:p w14:paraId="5307FF38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Praca pionowa lub pozioma – wybór programowo.</w:t>
      </w:r>
    </w:p>
    <w:p w14:paraId="74D6ECDE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Stopień ochrony min. IP54 dla całego urządzenia i min. IP66 dla frontu szklanego</w:t>
      </w:r>
    </w:p>
    <w:p w14:paraId="744A0592" w14:textId="77777777" w:rsidR="007B1E73" w:rsidRPr="007B1E73" w:rsidRDefault="007B1E73" w:rsidP="007B1E73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56C494DE" w14:textId="77777777" w:rsidR="007B1E73" w:rsidRPr="007B1E73" w:rsidRDefault="007B1E73" w:rsidP="007B1E73">
      <w:pPr>
        <w:numPr>
          <w:ilvl w:val="0"/>
          <w:numId w:val="4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>Układ lokalizacji doziemień:</w:t>
      </w:r>
    </w:p>
    <w:p w14:paraId="4E8FF8F7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Współpraca z przekaźnikiem kontroli stanu izolacji (zgodnie z PN-EN 61557-9:2009)</w:t>
      </w:r>
    </w:p>
    <w:p w14:paraId="044F004A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Lokalizowanie uszkodzonego (doziemionego) odpływu zarówno dla doziemień symetrycznych jak i niesymetrycznych (zgodnie z PN-EN 61557-9:2009).</w:t>
      </w:r>
    </w:p>
    <w:p w14:paraId="65CAC137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Prąd pomiarowy &lt; 1 mA, </w:t>
      </w:r>
    </w:p>
    <w:p w14:paraId="2E634CDF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Wskazanie doziemionego odpływu na urządzeniu i kasecie sygnalizacyjnej</w:t>
      </w:r>
    </w:p>
    <w:p w14:paraId="3288E473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Współpraca z kasetą sygnalizacyjną – przesłanie cyfrowo informacji poprzez RS485 o doziemionym odpływie i wartości prądu doziemienia</w:t>
      </w:r>
    </w:p>
    <w:p w14:paraId="48B0D6A9" w14:textId="77777777" w:rsidR="007B1E73" w:rsidRPr="007B1E73" w:rsidRDefault="007B1E73" w:rsidP="007B1E73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>6. Komunikacja i Wizualizacja:</w:t>
      </w:r>
    </w:p>
    <w:p w14:paraId="4327E4CA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Cyfrowa komunikacja pomiędzy elementami układu zasilającego wraz z możliwością wymiany informacji z innymi układami poprzez RS485,</w:t>
      </w:r>
    </w:p>
    <w:p w14:paraId="6C80F997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Komunikacja pomiędzy konwerterami i panelami dotykowymi poprzez sieć LAN</w:t>
      </w:r>
    </w:p>
    <w:p w14:paraId="2AF3F863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Monitoring sieci z wyprowadzeniem sygnałów do systemu nadrzędnego poprzez konwertery komunikacyjne lub panele dotykowe,</w:t>
      </w:r>
    </w:p>
    <w:p w14:paraId="6C8CC268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Konwertery TCP z wyświetlaniem informacji i alarmów poprzez przeglądarkę internetową, z możliwością wprowadzania własnych opisów urządzeń, wbudowanym modułem Mudbus RTU oraz modułem wizualizacyjnym pozwalającym na wprowadzanie własnego, graficznego opisu sieci,</w:t>
      </w:r>
    </w:p>
    <w:p w14:paraId="6F0B04D1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lastRenderedPageBreak/>
        <w:t>Możliwość zdalnego testowania przekaźnika kontroli stanu izolacji (zabezpieczone hasłem)</w:t>
      </w:r>
    </w:p>
    <w:p w14:paraId="14C4BBA4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Możliwość zdalnego testowania układu przełączającego (zabezpieczone hasłem)</w:t>
      </w:r>
    </w:p>
    <w:p w14:paraId="5A5F43D7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Możliwość zdalnej zmiany parametrów i nastaw urządzeń w sieci (zabezpieczone hasłem)</w:t>
      </w:r>
    </w:p>
    <w:p w14:paraId="13BA70F7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Wszystkie alarmy w sieci muszą być dostępne z dowolnego komputera w sieci komputerowej oraz na urządzeniach mobilnych (poprzez WiFi)</w:t>
      </w:r>
    </w:p>
    <w:p w14:paraId="728C6FBF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Wizualizacja ma zawierać rzuty pięter wraz z naniesionymi informacjami o urządzeniach oraz alarmach, które w nich występują, karty z poszczególnymi rozdzielniami na których będą pokazane wartości mierzone (napięcia, częstotliwości, prąd obciążenia transformatora) oraz alarmy (brak napięcia na liniach zasilających, przeciążenie transformatora, doziemienie – wraz ze wskazaniem uszkodzonego odpływu). Alarmy muszą pokazywać się też na stronie głównej jako informacja zbiorcza i jako wskazanie w której rozdzielnicy jest alarm i poprzez jedno kliknięcie, możliwość podejrzenia alarmu i miejsca jego wystąpienia. Wszystkie alarmy zapisywane muszą być w historii zdarzeń (min. 1000 zdarzeń).</w:t>
      </w:r>
    </w:p>
    <w:p w14:paraId="10A7DF30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Wszystkie alarmy w sieci muszą być dostępne z dowolnego komputera w sieci oraz na urządzeniach mobilnych poprzez WiFi</w:t>
      </w:r>
    </w:p>
    <w:p w14:paraId="1329DE07" w14:textId="77777777" w:rsidR="007B1E73" w:rsidRP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48375EC0" w14:textId="77777777" w:rsidR="007B1E73" w:rsidRP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0F3ACC09" w14:textId="77777777" w:rsidR="007B1E73" w:rsidRP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5DB23867" w14:textId="77777777" w:rsidR="007B1E73" w:rsidRP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2C5DF8F8" w14:textId="77777777" w:rsidR="0009410C" w:rsidRDefault="0009410C"/>
    <w:sectPr w:rsidR="0009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44E205E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2D4A4F"/>
    <w:multiLevelType w:val="multilevel"/>
    <w:tmpl w:val="F04E7BA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DB392A"/>
    <w:multiLevelType w:val="hybridMultilevel"/>
    <w:tmpl w:val="769C9FF4"/>
    <w:lvl w:ilvl="0" w:tplc="AD169A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863"/>
    <w:multiLevelType w:val="multilevel"/>
    <w:tmpl w:val="A8D6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E63E2"/>
    <w:multiLevelType w:val="multilevel"/>
    <w:tmpl w:val="5492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45B3A"/>
    <w:multiLevelType w:val="multilevel"/>
    <w:tmpl w:val="365A9D2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96656B"/>
    <w:multiLevelType w:val="multilevel"/>
    <w:tmpl w:val="1B1A2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97206"/>
    <w:multiLevelType w:val="multilevel"/>
    <w:tmpl w:val="606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D40185"/>
    <w:multiLevelType w:val="hybridMultilevel"/>
    <w:tmpl w:val="0F7E9576"/>
    <w:lvl w:ilvl="0" w:tplc="A8A093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62751"/>
    <w:multiLevelType w:val="hybridMultilevel"/>
    <w:tmpl w:val="FCD88158"/>
    <w:lvl w:ilvl="0" w:tplc="322E67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A7A2D"/>
    <w:multiLevelType w:val="hybridMultilevel"/>
    <w:tmpl w:val="E76A53CA"/>
    <w:lvl w:ilvl="0" w:tplc="A5289E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01C45"/>
    <w:multiLevelType w:val="multilevel"/>
    <w:tmpl w:val="80B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52D28"/>
    <w:multiLevelType w:val="hybridMultilevel"/>
    <w:tmpl w:val="08F0378C"/>
    <w:lvl w:ilvl="0" w:tplc="CC3CB8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654DB"/>
    <w:multiLevelType w:val="hybridMultilevel"/>
    <w:tmpl w:val="291439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E345D"/>
    <w:multiLevelType w:val="multilevel"/>
    <w:tmpl w:val="0F48AF2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CF7FE3"/>
    <w:multiLevelType w:val="hybridMultilevel"/>
    <w:tmpl w:val="13DE7FB6"/>
    <w:lvl w:ilvl="0" w:tplc="21DC36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464AA"/>
    <w:multiLevelType w:val="multilevel"/>
    <w:tmpl w:val="2EE8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8D0CDC"/>
    <w:multiLevelType w:val="singleLevel"/>
    <w:tmpl w:val="D25CCE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AE3C7C"/>
    <w:multiLevelType w:val="hybridMultilevel"/>
    <w:tmpl w:val="52AE2C94"/>
    <w:lvl w:ilvl="0" w:tplc="3ABCAA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C21A7"/>
    <w:multiLevelType w:val="multilevel"/>
    <w:tmpl w:val="7E168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6C36C3"/>
    <w:multiLevelType w:val="multilevel"/>
    <w:tmpl w:val="3B742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52C1"/>
    <w:multiLevelType w:val="hybridMultilevel"/>
    <w:tmpl w:val="E83E4F4C"/>
    <w:lvl w:ilvl="0" w:tplc="2EDACB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F158B"/>
    <w:multiLevelType w:val="multilevel"/>
    <w:tmpl w:val="48B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D6FF0"/>
    <w:multiLevelType w:val="multilevel"/>
    <w:tmpl w:val="2850F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EE06F3"/>
    <w:multiLevelType w:val="multilevel"/>
    <w:tmpl w:val="80386E24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51AB5A4A"/>
    <w:multiLevelType w:val="hybridMultilevel"/>
    <w:tmpl w:val="143821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77FAE"/>
    <w:multiLevelType w:val="hybridMultilevel"/>
    <w:tmpl w:val="039CB692"/>
    <w:lvl w:ilvl="0" w:tplc="E4425B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D4396"/>
    <w:multiLevelType w:val="hybridMultilevel"/>
    <w:tmpl w:val="22AED206"/>
    <w:lvl w:ilvl="0" w:tplc="AD645F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649A1"/>
    <w:multiLevelType w:val="multilevel"/>
    <w:tmpl w:val="D542E424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2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3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4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5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6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CF330D0"/>
    <w:multiLevelType w:val="multilevel"/>
    <w:tmpl w:val="933C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6F1BB3"/>
    <w:multiLevelType w:val="hybridMultilevel"/>
    <w:tmpl w:val="9BA6C61E"/>
    <w:lvl w:ilvl="0" w:tplc="0F7E9E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753FA"/>
    <w:multiLevelType w:val="multilevel"/>
    <w:tmpl w:val="ECEC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0D6CE6"/>
    <w:multiLevelType w:val="hybridMultilevel"/>
    <w:tmpl w:val="02F83120"/>
    <w:lvl w:ilvl="0" w:tplc="37C83F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41C53"/>
    <w:multiLevelType w:val="multilevel"/>
    <w:tmpl w:val="824AD7B4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77815518"/>
    <w:multiLevelType w:val="hybridMultilevel"/>
    <w:tmpl w:val="854A1130"/>
    <w:lvl w:ilvl="0" w:tplc="A29836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342D4"/>
    <w:multiLevelType w:val="hybridMultilevel"/>
    <w:tmpl w:val="05CA523A"/>
    <w:lvl w:ilvl="0" w:tplc="EB6EA2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E6D06"/>
    <w:multiLevelType w:val="multilevel"/>
    <w:tmpl w:val="82F8F0A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F3051B"/>
    <w:multiLevelType w:val="hybridMultilevel"/>
    <w:tmpl w:val="0A3E3BBC"/>
    <w:lvl w:ilvl="0" w:tplc="B8BEEF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20C57"/>
    <w:multiLevelType w:val="multilevel"/>
    <w:tmpl w:val="2768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B58B5"/>
    <w:multiLevelType w:val="hybridMultilevel"/>
    <w:tmpl w:val="C2C2499A"/>
    <w:lvl w:ilvl="0" w:tplc="E9DC1C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23938">
    <w:abstractNumId w:val="26"/>
  </w:num>
  <w:num w:numId="2" w16cid:durableId="17242132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513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3607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6728121">
    <w:abstractNumId w:val="6"/>
  </w:num>
  <w:num w:numId="6" w16cid:durableId="645277949">
    <w:abstractNumId w:val="5"/>
  </w:num>
  <w:num w:numId="7" w16cid:durableId="352151637">
    <w:abstractNumId w:val="20"/>
  </w:num>
  <w:num w:numId="8" w16cid:durableId="1941984792">
    <w:abstractNumId w:val="8"/>
  </w:num>
  <w:num w:numId="9" w16cid:durableId="1030296675">
    <w:abstractNumId w:val="17"/>
  </w:num>
  <w:num w:numId="10" w16cid:durableId="451478732">
    <w:abstractNumId w:val="41"/>
  </w:num>
  <w:num w:numId="11" w16cid:durableId="983120416">
    <w:abstractNumId w:val="2"/>
  </w:num>
  <w:num w:numId="12" w16cid:durableId="2105222894">
    <w:abstractNumId w:val="38"/>
  </w:num>
  <w:num w:numId="13" w16cid:durableId="748229299">
    <w:abstractNumId w:val="28"/>
  </w:num>
  <w:num w:numId="14" w16cid:durableId="1112166961">
    <w:abstractNumId w:val="17"/>
    <w:lvlOverride w:ilvl="0">
      <w:startOverride w:val="1"/>
    </w:lvlOverride>
  </w:num>
  <w:num w:numId="15" w16cid:durableId="834491144">
    <w:abstractNumId w:val="32"/>
  </w:num>
  <w:num w:numId="16" w16cid:durableId="1455054697">
    <w:abstractNumId w:val="0"/>
  </w:num>
  <w:num w:numId="17" w16cid:durableId="1252928635">
    <w:abstractNumId w:val="16"/>
  </w:num>
  <w:num w:numId="18" w16cid:durableId="142475323">
    <w:abstractNumId w:val="45"/>
  </w:num>
  <w:num w:numId="19" w16cid:durableId="1237280002">
    <w:abstractNumId w:val="13"/>
  </w:num>
  <w:num w:numId="20" w16cid:durableId="1193810628">
    <w:abstractNumId w:val="11"/>
  </w:num>
  <w:num w:numId="21" w16cid:durableId="1681198239">
    <w:abstractNumId w:val="24"/>
  </w:num>
  <w:num w:numId="22" w16cid:durableId="178468092">
    <w:abstractNumId w:val="39"/>
  </w:num>
  <w:num w:numId="23" w16cid:durableId="1129401128">
    <w:abstractNumId w:val="30"/>
  </w:num>
  <w:num w:numId="24" w16cid:durableId="841625296">
    <w:abstractNumId w:val="40"/>
  </w:num>
  <w:num w:numId="25" w16cid:durableId="1124233296">
    <w:abstractNumId w:val="35"/>
  </w:num>
  <w:num w:numId="26" w16cid:durableId="1727798088">
    <w:abstractNumId w:val="21"/>
  </w:num>
  <w:num w:numId="27" w16cid:durableId="145557229">
    <w:abstractNumId w:val="3"/>
  </w:num>
  <w:num w:numId="28" w16cid:durableId="1000886047">
    <w:abstractNumId w:val="37"/>
  </w:num>
  <w:num w:numId="29" w16cid:durableId="99226385">
    <w:abstractNumId w:val="31"/>
  </w:num>
  <w:num w:numId="30" w16cid:durableId="1457337292">
    <w:abstractNumId w:val="18"/>
  </w:num>
  <w:num w:numId="31" w16cid:durableId="293027812">
    <w:abstractNumId w:val="12"/>
  </w:num>
  <w:num w:numId="32" w16cid:durableId="478112">
    <w:abstractNumId w:val="29"/>
  </w:num>
  <w:num w:numId="33" w16cid:durableId="544608741">
    <w:abstractNumId w:val="43"/>
  </w:num>
  <w:num w:numId="34" w16cid:durableId="632447113">
    <w:abstractNumId w:val="15"/>
  </w:num>
  <w:num w:numId="35" w16cid:durableId="2045789448">
    <w:abstractNumId w:val="14"/>
  </w:num>
  <w:num w:numId="36" w16cid:durableId="2067138543">
    <w:abstractNumId w:val="4"/>
  </w:num>
  <w:num w:numId="37" w16cid:durableId="2114469537">
    <w:abstractNumId w:val="7"/>
  </w:num>
  <w:num w:numId="38" w16cid:durableId="1692799872">
    <w:abstractNumId w:val="36"/>
  </w:num>
  <w:num w:numId="39" w16cid:durableId="178275711">
    <w:abstractNumId w:val="23"/>
  </w:num>
  <w:num w:numId="40" w16cid:durableId="503473096">
    <w:abstractNumId w:val="33"/>
  </w:num>
  <w:num w:numId="41" w16cid:durableId="86586359">
    <w:abstractNumId w:val="22"/>
  </w:num>
  <w:num w:numId="42" w16cid:durableId="148525428">
    <w:abstractNumId w:val="25"/>
  </w:num>
  <w:num w:numId="43" w16cid:durableId="509107439">
    <w:abstractNumId w:val="9"/>
  </w:num>
  <w:num w:numId="44" w16cid:durableId="2134907859">
    <w:abstractNumId w:val="44"/>
  </w:num>
  <w:num w:numId="45" w16cid:durableId="1374116287">
    <w:abstractNumId w:val="10"/>
  </w:num>
  <w:num w:numId="46" w16cid:durableId="2035887094">
    <w:abstractNumId w:val="27"/>
  </w:num>
  <w:num w:numId="47" w16cid:durableId="8425535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17"/>
    <w:rsid w:val="0009410C"/>
    <w:rsid w:val="00222E53"/>
    <w:rsid w:val="00242717"/>
    <w:rsid w:val="003F593E"/>
    <w:rsid w:val="005E29B1"/>
    <w:rsid w:val="00655219"/>
    <w:rsid w:val="006E192C"/>
    <w:rsid w:val="007B1E73"/>
    <w:rsid w:val="00990339"/>
    <w:rsid w:val="00CA0B26"/>
    <w:rsid w:val="00D3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6BCE"/>
  <w15:chartTrackingRefBased/>
  <w15:docId w15:val="{4121FCA0-B900-4F31-94AB-B0226670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2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427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2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27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2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2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2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2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71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71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42717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2717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2717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2717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2717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2717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2717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2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271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242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242717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2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2717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qFormat/>
    <w:rsid w:val="002427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27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2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2717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2717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7B1E73"/>
  </w:style>
  <w:style w:type="paragraph" w:customStyle="1" w:styleId="AbsatzTableFormat">
    <w:name w:val="AbsatzTableFormat"/>
    <w:basedOn w:val="Normalny"/>
    <w:rsid w:val="007B1E73"/>
    <w:pPr>
      <w:spacing w:after="0" w:line="240" w:lineRule="auto"/>
    </w:pPr>
    <w:rPr>
      <w:rFonts w:ascii="Times New Roman" w:eastAsia="Times New Roman" w:hAnsi="Times New Roman" w:cs="Times New Roman"/>
      <w:noProof w:val="0"/>
      <w:sz w:val="16"/>
      <w:szCs w:val="16"/>
      <w:lang w:eastAsia="pl-PL"/>
      <w14:ligatures w14:val="none"/>
    </w:rPr>
  </w:style>
  <w:style w:type="paragraph" w:customStyle="1" w:styleId="Lista-kontynuacja24">
    <w:name w:val="Lista - kontynuacja 24"/>
    <w:basedOn w:val="Normalny"/>
    <w:rsid w:val="007B1E73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noProof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nhideWhenUsed/>
    <w:rsid w:val="007B1E7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noProof w:val="0"/>
      <w:kern w:val="0"/>
      <w:sz w:val="24"/>
      <w:szCs w:val="24"/>
      <w:lang w:eastAsia="ja-JP"/>
      <w14:ligatures w14:val="none"/>
    </w:rPr>
  </w:style>
  <w:style w:type="character" w:customStyle="1" w:styleId="NagwekZnak">
    <w:name w:val="Nagłówek Znak"/>
    <w:basedOn w:val="Domylnaczcionkaakapitu"/>
    <w:link w:val="Nagwek"/>
    <w:rsid w:val="007B1E73"/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styleId="Stopka">
    <w:name w:val="footer"/>
    <w:basedOn w:val="Normalny"/>
    <w:link w:val="StopkaZnak"/>
    <w:unhideWhenUsed/>
    <w:rsid w:val="007B1E7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noProof w:val="0"/>
      <w:kern w:val="0"/>
      <w:sz w:val="24"/>
      <w:szCs w:val="24"/>
      <w:lang w:eastAsia="ja-JP"/>
      <w14:ligatures w14:val="none"/>
    </w:rPr>
  </w:style>
  <w:style w:type="character" w:customStyle="1" w:styleId="StopkaZnak">
    <w:name w:val="Stopka Znak"/>
    <w:basedOn w:val="Domylnaczcionkaakapitu"/>
    <w:link w:val="Stopka"/>
    <w:rsid w:val="007B1E73"/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styleId="Pogrubienie">
    <w:name w:val="Strong"/>
    <w:basedOn w:val="Domylnaczcionkaakapitu"/>
    <w:uiPriority w:val="22"/>
    <w:qFormat/>
    <w:rsid w:val="007B1E73"/>
    <w:rPr>
      <w:b/>
      <w:bCs/>
    </w:rPr>
  </w:style>
  <w:style w:type="paragraph" w:customStyle="1" w:styleId="Default">
    <w:name w:val="Default"/>
    <w:rsid w:val="007B1E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Domynie">
    <w:name w:val="Domy徑nie"/>
    <w:uiPriority w:val="99"/>
    <w:rsid w:val="007B1E73"/>
    <w:pPr>
      <w:widowControl w:val="0"/>
      <w:suppressAutoHyphens/>
      <w:spacing w:after="0" w:line="240" w:lineRule="auto"/>
    </w:pPr>
    <w:rPr>
      <w:rFonts w:ascii="Garamond" w:eastAsia="Times New Roman" w:hAnsi="Garamond" w:cs="Garamond"/>
      <w:sz w:val="24"/>
      <w:szCs w:val="24"/>
      <w:lang w:eastAsia="hi-IN" w:bidi="hi-IN"/>
      <w14:ligatures w14:val="none"/>
    </w:rPr>
  </w:style>
  <w:style w:type="paragraph" w:customStyle="1" w:styleId="Standard">
    <w:name w:val="Standard"/>
    <w:qFormat/>
    <w:rsid w:val="007B1E7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Lista-kontynuacja22">
    <w:name w:val="Lista - kontynuacja 22"/>
    <w:basedOn w:val="Normalny"/>
    <w:rsid w:val="007B1E73"/>
    <w:pPr>
      <w:suppressAutoHyphens/>
      <w:spacing w:line="240" w:lineRule="auto"/>
      <w:ind w:left="1080" w:hanging="360"/>
    </w:pPr>
    <w:rPr>
      <w:rFonts w:ascii="Times New Roman" w:eastAsia="Times New Roman" w:hAnsi="Times New Roman" w:cs="Times New Roman"/>
      <w:noProof w:val="0"/>
      <w:kern w:val="0"/>
      <w:sz w:val="20"/>
      <w:szCs w:val="20"/>
      <w:lang w:eastAsia="ar-SA"/>
      <w14:ligatures w14:val="none"/>
    </w:rPr>
  </w:style>
  <w:style w:type="paragraph" w:styleId="Lista-kontynuacja2">
    <w:name w:val="List Continue 2"/>
    <w:basedOn w:val="Lista-kontynuacja"/>
    <w:unhideWhenUsed/>
    <w:rsid w:val="007B1E73"/>
    <w:pPr>
      <w:spacing w:after="160"/>
      <w:ind w:left="1080" w:hanging="360"/>
      <w:contextualSpacing w:val="0"/>
    </w:pPr>
    <w:rPr>
      <w:rFonts w:eastAsia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7B1E73"/>
    <w:pPr>
      <w:spacing w:after="120" w:line="240" w:lineRule="auto"/>
      <w:ind w:left="283"/>
      <w:contextualSpacing/>
    </w:pPr>
    <w:rPr>
      <w:rFonts w:ascii="Times New Roman" w:eastAsia="MS Mincho" w:hAnsi="Times New Roman" w:cs="Times New Roman"/>
      <w:noProof w:val="0"/>
      <w:kern w:val="0"/>
      <w:sz w:val="24"/>
      <w:szCs w:val="24"/>
      <w:lang w:eastAsia="ja-JP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1E73"/>
    <w:pPr>
      <w:spacing w:after="0" w:line="240" w:lineRule="auto"/>
    </w:pPr>
    <w:rPr>
      <w:rFonts w:ascii="Times New Roman" w:eastAsia="MS Mincho" w:hAnsi="Times New Roman" w:cs="Times New Roman"/>
      <w:noProof w:val="0"/>
      <w:kern w:val="0"/>
      <w:sz w:val="20"/>
      <w:szCs w:val="20"/>
      <w:lang w:eastAsia="ja-JP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1E73"/>
    <w:rPr>
      <w:rFonts w:ascii="Times New Roman" w:eastAsia="MS Mincho" w:hAnsi="Times New Roman" w:cs="Times New Roman"/>
      <w:kern w:val="0"/>
      <w:sz w:val="20"/>
      <w:szCs w:val="20"/>
      <w:lang w:eastAsia="ja-JP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73"/>
    <w:rPr>
      <w:rFonts w:ascii="Times New Roman" w:eastAsia="MS Mincho" w:hAnsi="Times New Roman" w:cs="Times New Roman"/>
      <w:b/>
      <w:bCs/>
      <w:kern w:val="0"/>
      <w:sz w:val="20"/>
      <w:szCs w:val="20"/>
      <w:lang w:eastAsia="ja-JP"/>
      <w14:ligatures w14:val="none"/>
    </w:rPr>
  </w:style>
  <w:style w:type="paragraph" w:styleId="Tekstdymka">
    <w:name w:val="Balloon Text"/>
    <w:basedOn w:val="Normalny"/>
    <w:link w:val="TekstdymkaZnak"/>
    <w:unhideWhenUsed/>
    <w:rsid w:val="007B1E73"/>
    <w:pPr>
      <w:spacing w:after="0" w:line="240" w:lineRule="auto"/>
    </w:pPr>
    <w:rPr>
      <w:rFonts w:ascii="Segoe UI" w:eastAsia="MS Mincho" w:hAnsi="Segoe UI" w:cs="Segoe UI"/>
      <w:noProof w:val="0"/>
      <w:kern w:val="0"/>
      <w:sz w:val="18"/>
      <w:szCs w:val="18"/>
      <w:lang w:eastAsia="ja-JP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B1E73"/>
    <w:rPr>
      <w:rFonts w:ascii="Segoe UI" w:eastAsia="MS Mincho" w:hAnsi="Segoe UI" w:cs="Segoe UI"/>
      <w:kern w:val="0"/>
      <w:sz w:val="18"/>
      <w:szCs w:val="18"/>
      <w:lang w:eastAsia="ja-JP"/>
      <w14:ligatures w14:val="none"/>
    </w:rPr>
  </w:style>
  <w:style w:type="paragraph" w:customStyle="1" w:styleId="NormalnyWeb1">
    <w:name w:val="Normalny (Web)1"/>
    <w:basedOn w:val="Normalny"/>
    <w:next w:val="NormalnyWeb"/>
    <w:uiPriority w:val="99"/>
    <w:semiHidden/>
    <w:unhideWhenUsed/>
    <w:rsid w:val="007B1E73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7B1E73"/>
    <w:rPr>
      <w:i/>
      <w:iCs/>
    </w:rPr>
  </w:style>
  <w:style w:type="numbering" w:customStyle="1" w:styleId="Bezlisty11">
    <w:name w:val="Bez listy11"/>
    <w:next w:val="Bezlisty"/>
    <w:uiPriority w:val="99"/>
    <w:semiHidden/>
    <w:unhideWhenUsed/>
    <w:rsid w:val="007B1E73"/>
  </w:style>
  <w:style w:type="paragraph" w:customStyle="1" w:styleId="Heading">
    <w:name w:val="Heading"/>
    <w:basedOn w:val="Standard"/>
    <w:next w:val="Textbody"/>
    <w:rsid w:val="007B1E73"/>
    <w:pPr>
      <w:keepNext/>
      <w:spacing w:before="240" w:after="120" w:line="276" w:lineRule="auto"/>
      <w:textAlignment w:val="baseline"/>
    </w:pPr>
    <w:rPr>
      <w:rFonts w:ascii="Arial" w:eastAsia="Microsoft YaHei" w:hAnsi="Arial" w:cs="Arial"/>
      <w:sz w:val="28"/>
      <w:szCs w:val="28"/>
      <w:lang w:val="en-US" w:eastAsia="en-US"/>
    </w:rPr>
  </w:style>
  <w:style w:type="paragraph" w:customStyle="1" w:styleId="Textbody">
    <w:name w:val="Text body"/>
    <w:basedOn w:val="Standard"/>
    <w:rsid w:val="007B1E73"/>
    <w:pPr>
      <w:spacing w:after="120" w:line="276" w:lineRule="auto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Lista">
    <w:name w:val="List"/>
    <w:basedOn w:val="Textbody"/>
    <w:rsid w:val="007B1E73"/>
    <w:rPr>
      <w:rFonts w:cs="Arial"/>
    </w:rPr>
  </w:style>
  <w:style w:type="paragraph" w:styleId="Legenda">
    <w:name w:val="caption"/>
    <w:basedOn w:val="Standard"/>
    <w:rsid w:val="007B1E73"/>
    <w:pPr>
      <w:suppressLineNumbers/>
      <w:spacing w:before="120" w:after="120" w:line="276" w:lineRule="auto"/>
      <w:textAlignment w:val="baseline"/>
    </w:pPr>
    <w:rPr>
      <w:rFonts w:ascii="Arial" w:hAnsi="Arial" w:cs="Arial"/>
      <w:i/>
      <w:iCs/>
      <w:lang w:val="en-US" w:eastAsia="en-US"/>
    </w:rPr>
  </w:style>
  <w:style w:type="paragraph" w:customStyle="1" w:styleId="Index">
    <w:name w:val="Index"/>
    <w:basedOn w:val="Standard"/>
    <w:rsid w:val="007B1E73"/>
    <w:pPr>
      <w:suppressLineNumbers/>
      <w:spacing w:after="200" w:line="276" w:lineRule="auto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customStyle="1" w:styleId="Tekstpodstawowy1">
    <w:name w:val="Tekst podstawowy1"/>
    <w:basedOn w:val="Standard"/>
    <w:rsid w:val="007B1E73"/>
    <w:pPr>
      <w:spacing w:line="360" w:lineRule="auto"/>
      <w:textAlignment w:val="baseline"/>
    </w:pPr>
    <w:rPr>
      <w:rFonts w:ascii="Bookman Old Style" w:hAnsi="Bookman Old Style"/>
      <w:sz w:val="28"/>
      <w:szCs w:val="20"/>
      <w:lang w:val="en-US" w:eastAsia="pl-PL"/>
    </w:rPr>
  </w:style>
  <w:style w:type="paragraph" w:customStyle="1" w:styleId="TableContents">
    <w:name w:val="Table Contents"/>
    <w:basedOn w:val="Standard"/>
    <w:rsid w:val="007B1E73"/>
    <w:pPr>
      <w:suppressLineNumbers/>
      <w:spacing w:after="200" w:line="276" w:lineRule="auto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rsid w:val="007B1E73"/>
    <w:rPr>
      <w:rFonts w:ascii="Bookman Old Style" w:eastAsia="Times New Roman" w:hAnsi="Bookman Old Style" w:cs="Times New Roman"/>
      <w:sz w:val="28"/>
      <w:lang w:eastAsia="pl-PL"/>
    </w:rPr>
  </w:style>
  <w:style w:type="character" w:customStyle="1" w:styleId="PodtytuZnak1">
    <w:name w:val="Podtytuł Znak1"/>
    <w:basedOn w:val="Domylnaczcionkaakapitu"/>
    <w:rsid w:val="007B1E73"/>
    <w:rPr>
      <w:color w:val="5A5A5A"/>
      <w:spacing w:val="15"/>
      <w:kern w:val="3"/>
    </w:rPr>
  </w:style>
  <w:style w:type="character" w:customStyle="1" w:styleId="StrongEmphasis">
    <w:name w:val="Strong Emphasis"/>
    <w:basedOn w:val="Domylnaczcionkaakapitu"/>
    <w:rsid w:val="007B1E73"/>
    <w:rPr>
      <w:b/>
      <w:bCs/>
    </w:rPr>
  </w:style>
  <w:style w:type="character" w:customStyle="1" w:styleId="ListLabel1">
    <w:name w:val="ListLabel 1"/>
    <w:rsid w:val="007B1E73"/>
    <w:rPr>
      <w:rFonts w:cs="Times New Roman"/>
    </w:rPr>
  </w:style>
  <w:style w:type="character" w:customStyle="1" w:styleId="ListLabel2">
    <w:name w:val="ListLabel 2"/>
    <w:rsid w:val="007B1E73"/>
    <w:rPr>
      <w:rFonts w:cs="Courier New"/>
    </w:rPr>
  </w:style>
  <w:style w:type="numbering" w:customStyle="1" w:styleId="WWNum1">
    <w:name w:val="WWNum1"/>
    <w:basedOn w:val="Bezlisty"/>
    <w:rsid w:val="007B1E73"/>
    <w:pPr>
      <w:numPr>
        <w:numId w:val="8"/>
      </w:numPr>
    </w:pPr>
  </w:style>
  <w:style w:type="numbering" w:customStyle="1" w:styleId="WWNum2">
    <w:name w:val="WWNum2"/>
    <w:basedOn w:val="Bezlisty"/>
    <w:rsid w:val="007B1E73"/>
    <w:pPr>
      <w:numPr>
        <w:numId w:val="9"/>
      </w:numPr>
    </w:pPr>
  </w:style>
  <w:style w:type="numbering" w:customStyle="1" w:styleId="WWNum3">
    <w:name w:val="WWNum3"/>
    <w:basedOn w:val="Bezlisty"/>
    <w:rsid w:val="007B1E73"/>
    <w:pPr>
      <w:numPr>
        <w:numId w:val="10"/>
      </w:numPr>
    </w:pPr>
  </w:style>
  <w:style w:type="numbering" w:customStyle="1" w:styleId="WWNum4">
    <w:name w:val="WWNum4"/>
    <w:basedOn w:val="Bezlisty"/>
    <w:rsid w:val="007B1E73"/>
    <w:pPr>
      <w:numPr>
        <w:numId w:val="11"/>
      </w:numPr>
    </w:pPr>
  </w:style>
  <w:style w:type="numbering" w:customStyle="1" w:styleId="WWNum5">
    <w:name w:val="WWNum5"/>
    <w:basedOn w:val="Bezlisty"/>
    <w:rsid w:val="007B1E73"/>
    <w:pPr>
      <w:numPr>
        <w:numId w:val="12"/>
      </w:numPr>
    </w:pPr>
  </w:style>
  <w:style w:type="numbering" w:customStyle="1" w:styleId="WWNum6">
    <w:name w:val="WWNum6"/>
    <w:basedOn w:val="Bezlisty"/>
    <w:rsid w:val="007B1E73"/>
    <w:pPr>
      <w:numPr>
        <w:numId w:val="13"/>
      </w:numPr>
    </w:pPr>
  </w:style>
  <w:style w:type="paragraph" w:customStyle="1" w:styleId="Nagwek11">
    <w:name w:val="Nagłówek 11"/>
    <w:basedOn w:val="Normalny"/>
    <w:next w:val="Normalny"/>
    <w:qFormat/>
    <w:rsid w:val="007B1E73"/>
    <w:pPr>
      <w:keepNext/>
      <w:numPr>
        <w:numId w:val="15"/>
      </w:numPr>
      <w:suppressAutoHyphens/>
      <w:spacing w:before="100" w:after="100" w:line="240" w:lineRule="auto"/>
      <w:textAlignment w:val="baseline"/>
      <w:outlineLvl w:val="0"/>
    </w:pPr>
    <w:rPr>
      <w:rFonts w:ascii="Arial" w:eastAsia="Times New Roman" w:hAnsi="Arial" w:cs="Arial"/>
      <w:b/>
      <w:noProof w:val="0"/>
      <w:sz w:val="20"/>
      <w:szCs w:val="20"/>
      <w:lang w:val="en-GB" w:eastAsia="zh-CN"/>
      <w14:ligatures w14:val="none"/>
    </w:rPr>
  </w:style>
  <w:style w:type="paragraph" w:customStyle="1" w:styleId="H1">
    <w:name w:val="H1"/>
    <w:basedOn w:val="Normalny"/>
    <w:qFormat/>
    <w:rsid w:val="007B1E73"/>
    <w:pPr>
      <w:keepNext/>
      <w:numPr>
        <w:ilvl w:val="1"/>
        <w:numId w:val="15"/>
      </w:numPr>
      <w:suppressAutoHyphens/>
      <w:spacing w:before="100" w:after="100" w:line="240" w:lineRule="auto"/>
      <w:textAlignment w:val="baseline"/>
      <w:outlineLvl w:val="1"/>
    </w:pPr>
    <w:rPr>
      <w:rFonts w:ascii="Times New Roman" w:eastAsia="Arial" w:hAnsi="Times New Roman" w:cs="Courier New"/>
      <w:b/>
      <w:noProof w:val="0"/>
      <w:sz w:val="48"/>
      <w:szCs w:val="24"/>
      <w:lang w:val="en-GB" w:eastAsia="en-GB"/>
      <w14:ligatures w14:val="none"/>
    </w:rPr>
  </w:style>
  <w:style w:type="paragraph" w:customStyle="1" w:styleId="H2">
    <w:name w:val="H2"/>
    <w:basedOn w:val="Normalny"/>
    <w:qFormat/>
    <w:rsid w:val="007B1E73"/>
    <w:pPr>
      <w:keepNext/>
      <w:numPr>
        <w:ilvl w:val="2"/>
        <w:numId w:val="15"/>
      </w:numPr>
      <w:suppressAutoHyphens/>
      <w:spacing w:before="100" w:after="100" w:line="240" w:lineRule="auto"/>
      <w:textAlignment w:val="baseline"/>
      <w:outlineLvl w:val="2"/>
    </w:pPr>
    <w:rPr>
      <w:rFonts w:ascii="Times New Roman" w:eastAsia="Arial" w:hAnsi="Times New Roman" w:cs="Courier New"/>
      <w:b/>
      <w:noProof w:val="0"/>
      <w:sz w:val="36"/>
      <w:szCs w:val="24"/>
      <w:lang w:val="en-GB" w:eastAsia="en-GB"/>
      <w14:ligatures w14:val="none"/>
    </w:rPr>
  </w:style>
  <w:style w:type="paragraph" w:customStyle="1" w:styleId="H3">
    <w:name w:val="H3"/>
    <w:basedOn w:val="Normalny"/>
    <w:qFormat/>
    <w:rsid w:val="007B1E73"/>
    <w:pPr>
      <w:keepNext/>
      <w:numPr>
        <w:ilvl w:val="3"/>
        <w:numId w:val="15"/>
      </w:numPr>
      <w:suppressAutoHyphens/>
      <w:spacing w:before="100" w:after="100" w:line="240" w:lineRule="auto"/>
      <w:textAlignment w:val="baseline"/>
      <w:outlineLvl w:val="3"/>
    </w:pPr>
    <w:rPr>
      <w:rFonts w:ascii="Times New Roman" w:eastAsia="Arial" w:hAnsi="Times New Roman" w:cs="Courier New"/>
      <w:b/>
      <w:noProof w:val="0"/>
      <w:sz w:val="28"/>
      <w:szCs w:val="24"/>
      <w:lang w:val="en-GB" w:eastAsia="en-GB"/>
      <w14:ligatures w14:val="none"/>
    </w:rPr>
  </w:style>
  <w:style w:type="paragraph" w:customStyle="1" w:styleId="H4">
    <w:name w:val="H4"/>
    <w:basedOn w:val="Normalny"/>
    <w:qFormat/>
    <w:rsid w:val="007B1E73"/>
    <w:pPr>
      <w:keepNext/>
      <w:numPr>
        <w:ilvl w:val="4"/>
        <w:numId w:val="15"/>
      </w:numPr>
      <w:suppressAutoHyphens/>
      <w:spacing w:before="100" w:after="100" w:line="240" w:lineRule="auto"/>
      <w:textAlignment w:val="baseline"/>
      <w:outlineLvl w:val="4"/>
    </w:pPr>
    <w:rPr>
      <w:rFonts w:ascii="Times New Roman" w:eastAsia="Arial" w:hAnsi="Times New Roman" w:cs="Courier New"/>
      <w:b/>
      <w:noProof w:val="0"/>
      <w:sz w:val="24"/>
      <w:szCs w:val="24"/>
      <w:lang w:val="en-GB" w:eastAsia="en-GB"/>
      <w14:ligatures w14:val="none"/>
    </w:rPr>
  </w:style>
  <w:style w:type="paragraph" w:customStyle="1" w:styleId="H5">
    <w:name w:val="H5"/>
    <w:basedOn w:val="Normalny"/>
    <w:qFormat/>
    <w:rsid w:val="007B1E73"/>
    <w:pPr>
      <w:keepNext/>
      <w:numPr>
        <w:ilvl w:val="5"/>
        <w:numId w:val="15"/>
      </w:numPr>
      <w:suppressAutoHyphens/>
      <w:spacing w:before="100" w:after="100" w:line="240" w:lineRule="auto"/>
      <w:textAlignment w:val="baseline"/>
      <w:outlineLvl w:val="5"/>
    </w:pPr>
    <w:rPr>
      <w:rFonts w:ascii="Times New Roman" w:eastAsia="Arial" w:hAnsi="Times New Roman" w:cs="Courier New"/>
      <w:b/>
      <w:noProof w:val="0"/>
      <w:sz w:val="20"/>
      <w:szCs w:val="24"/>
      <w:lang w:val="en-GB" w:eastAsia="en-GB"/>
      <w14:ligatures w14:val="none"/>
    </w:rPr>
  </w:style>
  <w:style w:type="paragraph" w:customStyle="1" w:styleId="H6">
    <w:name w:val="H6"/>
    <w:basedOn w:val="Normalny"/>
    <w:qFormat/>
    <w:rsid w:val="007B1E73"/>
    <w:pPr>
      <w:keepNext/>
      <w:numPr>
        <w:ilvl w:val="6"/>
        <w:numId w:val="15"/>
      </w:numPr>
      <w:suppressAutoHyphens/>
      <w:spacing w:before="100" w:after="100" w:line="240" w:lineRule="auto"/>
      <w:textAlignment w:val="baseline"/>
      <w:outlineLvl w:val="6"/>
    </w:pPr>
    <w:rPr>
      <w:rFonts w:ascii="Times New Roman" w:eastAsia="Arial" w:hAnsi="Times New Roman" w:cs="Courier New"/>
      <w:b/>
      <w:noProof w:val="0"/>
      <w:sz w:val="16"/>
      <w:szCs w:val="24"/>
      <w:lang w:val="en-GB" w:eastAsia="en-GB"/>
      <w14:ligatures w14:val="none"/>
    </w:rPr>
  </w:style>
  <w:style w:type="paragraph" w:customStyle="1" w:styleId="Heading81">
    <w:name w:val="Heading 81"/>
    <w:rsid w:val="007B1E73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7B1E73"/>
  </w:style>
  <w:style w:type="numbering" w:customStyle="1" w:styleId="WWNum11">
    <w:name w:val="WWNum11"/>
    <w:basedOn w:val="Bezlisty"/>
    <w:rsid w:val="007B1E73"/>
  </w:style>
  <w:style w:type="numbering" w:customStyle="1" w:styleId="WWNum21">
    <w:name w:val="WWNum21"/>
    <w:basedOn w:val="Bezlisty"/>
    <w:rsid w:val="007B1E73"/>
  </w:style>
  <w:style w:type="numbering" w:customStyle="1" w:styleId="WWNum31">
    <w:name w:val="WWNum31"/>
    <w:basedOn w:val="Bezlisty"/>
    <w:rsid w:val="007B1E73"/>
  </w:style>
  <w:style w:type="numbering" w:customStyle="1" w:styleId="WWNum41">
    <w:name w:val="WWNum41"/>
    <w:basedOn w:val="Bezlisty"/>
    <w:rsid w:val="007B1E73"/>
  </w:style>
  <w:style w:type="numbering" w:customStyle="1" w:styleId="WWNum51">
    <w:name w:val="WWNum51"/>
    <w:basedOn w:val="Bezlisty"/>
    <w:rsid w:val="007B1E73"/>
  </w:style>
  <w:style w:type="numbering" w:customStyle="1" w:styleId="WWNum61">
    <w:name w:val="WWNum61"/>
    <w:basedOn w:val="Bezlisty"/>
    <w:rsid w:val="007B1E73"/>
  </w:style>
  <w:style w:type="table" w:customStyle="1" w:styleId="Tabela-Siatka1">
    <w:name w:val="Tabela - Siatka1"/>
    <w:basedOn w:val="Standardowy"/>
    <w:next w:val="Tabela-Siatka"/>
    <w:uiPriority w:val="59"/>
    <w:rsid w:val="007B1E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B1E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next w:val="Listanumerowana"/>
    <w:uiPriority w:val="99"/>
    <w:unhideWhenUsed/>
    <w:rsid w:val="007B1E73"/>
    <w:pPr>
      <w:numPr>
        <w:numId w:val="16"/>
      </w:numPr>
      <w:tabs>
        <w:tab w:val="clear" w:pos="360"/>
      </w:tabs>
      <w:spacing w:after="200" w:line="276" w:lineRule="auto"/>
      <w:ind w:left="720"/>
      <w:contextualSpacing/>
    </w:pPr>
    <w:rPr>
      <w:rFonts w:ascii="Cambria" w:eastAsia="MS Mincho" w:hAnsi="Cambria" w:cs="Times New Roman"/>
      <w:noProof w:val="0"/>
      <w:kern w:val="0"/>
      <w:lang w:val="en-US"/>
      <w14:ligatures w14:val="none"/>
    </w:rPr>
  </w:style>
  <w:style w:type="table" w:customStyle="1" w:styleId="Tabela-Siatka21">
    <w:name w:val="Tabela - Siatka21"/>
    <w:basedOn w:val="Standardowy"/>
    <w:next w:val="Tabela-Siatka"/>
    <w:uiPriority w:val="59"/>
    <w:rsid w:val="007B1E73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unhideWhenUsed/>
    <w:rsid w:val="007B1E73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MS Mincho" w:hAnsi="Times New Roman" w:cs="Times New Roman"/>
      <w:noProof w:val="0"/>
      <w:kern w:val="0"/>
      <w:sz w:val="24"/>
      <w:szCs w:val="24"/>
      <w:lang w:eastAsia="ja-JP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7B1E73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B1E73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B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9019</Words>
  <Characters>54118</Characters>
  <Application>Microsoft Office Word</Application>
  <DocSecurity>0</DocSecurity>
  <Lines>450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3</cp:revision>
  <dcterms:created xsi:type="dcterms:W3CDTF">2025-05-12T12:18:00Z</dcterms:created>
  <dcterms:modified xsi:type="dcterms:W3CDTF">2025-05-12T12:38:00Z</dcterms:modified>
</cp:coreProperties>
</file>