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59" w:rsidRDefault="001439A7">
      <w:pPr>
        <w:pStyle w:val="TitleStyle"/>
      </w:pPr>
      <w:r>
        <w:t>Zasady postępowania w kontaktach z wykonawcami.</w:t>
      </w:r>
    </w:p>
    <w:p w:rsidR="00EB4059" w:rsidRDefault="001439A7">
      <w:pPr>
        <w:pStyle w:val="NormalStyle"/>
      </w:pPr>
      <w:r>
        <w:t>Dz.Urz.MON.2017.157 z dnia 2017.07.14</w:t>
      </w:r>
    </w:p>
    <w:p w:rsidR="00EB4059" w:rsidRDefault="001439A7">
      <w:pPr>
        <w:pStyle w:val="NormalStyle"/>
      </w:pPr>
      <w:r>
        <w:t xml:space="preserve">Status: Akt obowiązujący </w:t>
      </w:r>
    </w:p>
    <w:p w:rsidR="00EB4059" w:rsidRDefault="001439A7">
      <w:pPr>
        <w:pStyle w:val="NormalStyle"/>
      </w:pPr>
      <w:r>
        <w:t xml:space="preserve">Wersja od: 19 lipca 2018r. </w:t>
      </w:r>
    </w:p>
    <w:p w:rsidR="00EB4059" w:rsidRDefault="001439A7">
      <w:pPr>
        <w:spacing w:after="0"/>
      </w:pPr>
      <w:bookmarkStart w:id="0" w:name="_GoBack"/>
      <w:bookmarkEnd w:id="0"/>
      <w:r>
        <w:br/>
      </w:r>
    </w:p>
    <w:p w:rsidR="00EB4059" w:rsidRDefault="001439A7">
      <w:pPr>
        <w:spacing w:after="0"/>
      </w:pPr>
      <w:r>
        <w:rPr>
          <w:b/>
          <w:color w:val="000000"/>
        </w:rPr>
        <w:t>Wejście w życie:</w:t>
      </w:r>
    </w:p>
    <w:p w:rsidR="00EB4059" w:rsidRDefault="001439A7">
      <w:pPr>
        <w:spacing w:after="0"/>
      </w:pPr>
      <w:r>
        <w:rPr>
          <w:color w:val="000000"/>
        </w:rPr>
        <w:t>29 lipca 2017 r.</w:t>
      </w:r>
    </w:p>
    <w:p w:rsidR="00EB4059" w:rsidRDefault="001439A7">
      <w:pPr>
        <w:spacing w:after="0"/>
      </w:pPr>
      <w:r>
        <w:br/>
      </w: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>DECYZJA Nr 145/MON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MINISTRA OBRONY NARODOWEJ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z dnia 13 lipca 2017 r.</w:t>
      </w: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t>w sprawie zasad postępowania w kontaktach z wykonawcami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Biuro do Spraw Procedur Antykorupcyjnych</w:t>
      </w:r>
    </w:p>
    <w:p w:rsidR="00EB4059" w:rsidRDefault="001439A7">
      <w:pPr>
        <w:spacing w:before="25" w:after="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2 pkt 1</w:t>
      </w:r>
      <w:r>
        <w:rPr>
          <w:color w:val="000000"/>
        </w:rPr>
        <w:t xml:space="preserve"> i </w:t>
      </w:r>
      <w:r>
        <w:rPr>
          <w:color w:val="1B1B1B"/>
        </w:rPr>
        <w:t>11</w:t>
      </w:r>
      <w:r>
        <w:rPr>
          <w:color w:val="000000"/>
        </w:rPr>
        <w:t xml:space="preserve"> ustawy z dnia 14 grudnia 1995 r. o urzędzie Ministra Obrony Narodowej (Dz. U. z 2013 r. poz. 189 i 852, z 2014 r. poz. 932 oraz z 2016 r. poz. 2138), w związku z </w:t>
      </w:r>
      <w:r>
        <w:rPr>
          <w:color w:val="1B1B1B"/>
        </w:rPr>
        <w:t>§ 2 pkt 14</w:t>
      </w:r>
      <w:r>
        <w:rPr>
          <w:color w:val="000000"/>
        </w:rPr>
        <w:t xml:space="preserve"> rozporządzenia Rady Ministrów z dnia 9 lipca 1996 r. w sprawie szczegółowego zakresu działania Ministra Obrony Narodowej (Dz. U. poz. 426 oraz z 2014 r. poz. 933), w celu wdrożenia rozwiązań w zakresie zapobiegania i zwalczania zjawisk korupcyjnych oraz realizacji polityki przejrzystości działań służbowych, ustala się, co następuje: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1.  </w:t>
      </w:r>
      <w:r>
        <w:rPr>
          <w:color w:val="000000"/>
        </w:rPr>
        <w:t>Decyzja określa zasady postępowania w kontaktach z wykonawcami, zwane dalej "Zasadami postępowania w kontaktach z wykonawcami", które stanowią załącznik do decyzji.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Zasady postępowania w kontaktach z wykonawcami stosuje się wobec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wobec osób fizycznych świadczących pracę na podstawie umów cywilnoprawnych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3.  </w:t>
      </w:r>
      <w:r>
        <w:rPr>
          <w:color w:val="000000"/>
        </w:rPr>
        <w:t>Dyrektorzy (szefowie, komendanci, kierownicy, dowódcy, prezesi) komórek i jednostek organizacyjnych odpowiadają za zapoznanie podległych im osób z treścią Zasad postępowania w kontaktach z wykonawcami oraz za egzekwowanie zawartych tam ustaleń.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4.  </w:t>
      </w:r>
      <w:r>
        <w:rPr>
          <w:color w:val="000000"/>
        </w:rPr>
        <w:t>Za działania zawinione określone w decyzji jako niedopuszczalne, pracownicy i żołnierze komórek i jednostek organizacyjnych, ponoszą odpowiedzialność służbową lub dyscyplinarną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lastRenderedPageBreak/>
        <w:t xml:space="preserve">§  5.  </w:t>
      </w:r>
      <w:r>
        <w:rPr>
          <w:color w:val="000000"/>
        </w:rPr>
        <w:t>W przypadku niewykonania obowiązku zapoznania podwładnych z treścią Zasad postępowania w kontaktach z wykonawcami, dyrektorzy (szefowie, komendanci, kierownicy, dowódcy, prezesi) komórek i jednostek organizacyjnych ponoszą odpowiedzialność służbową lub dyscyplinarną,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6.  </w:t>
      </w:r>
      <w:r>
        <w:rPr>
          <w:color w:val="000000"/>
        </w:rPr>
        <w:t>Załącznik do niniejszej decyzji stanowi integralną część każdej umowy cywilnoprawnej, zawartej po dniu wejścia w życie decyzji, na podstawie której osoby fizyczne będą świadczyły pracę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W umowach cywilnoprawnych, o których mowa w § 6, wprowadza się klauzulę, uprawniającą zamawiającego do ich rozwiązania z powodu zawinionego podjęcia przez osobę fizyczna świadczącą pracę działań, określonych w decyzji jako niedopuszczalne. Klauzula obejmuje również działania osób, z pomocą których osoba fizyczna świadcząca pracę na podstawie umowy cywilnoprawnej będzie wykonywała swoje zobowiązanie, jak również osoby, którym wykonanie zobowiązania powierzyła.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8.  </w:t>
      </w:r>
      <w:r>
        <w:rPr>
          <w:color w:val="000000"/>
        </w:rPr>
        <w:t>W przypadku umów zawartych przed dniem wejścia w życie decyzji, dyrektorzy (szefowie, komendanci, kierownicy, dowódcy, prezesi) komórek i jednostek organizacyjnych odpowiedzialnych za ich zawarcie, spowodują dokonanie zmian w obowiązujących umowach zgodnie z postanowieniami § 6 i 7, a gdyby to okazało się niemożliwe doprowadzą do ich jak najszybszego rozwiązania, dbając jednocześnie o to, aby działania te nie doprowadziły do powstania dodatkowych kosztów po stronie Skarbu Państwa lub państwowych osób prawnych.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9.   </w:t>
      </w:r>
      <w:r>
        <w:rPr>
          <w:color w:val="000000"/>
        </w:rPr>
        <w:t> Dyrektor komórki organizacyjnej Ministerstwa właściwej dla spraw procedur antykorupcyjnych uprawniony jest do monitorowania realizacji obowiązków, o których mowa w § 3, 7 i 8 oraz bezpośredniego informowania Ministra Obrony Narodowej o stwierdzonych przypadkach niewywiązywania się z ich realizacji.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10.  </w:t>
      </w:r>
      <w:r>
        <w:rPr>
          <w:color w:val="000000"/>
        </w:rPr>
        <w:t>Szef Inspektoratu Systemów Informacyjnych zapewni funkcjonowanie w wewnętrznej sieci elektronicznej (intranet) zakładki elektronicznej pod nazwą "kontakty z 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11.  </w:t>
      </w:r>
      <w:r>
        <w:rPr>
          <w:color w:val="000000"/>
        </w:rPr>
        <w:t xml:space="preserve">Traci moc </w:t>
      </w:r>
      <w:r>
        <w:rPr>
          <w:color w:val="1B1B1B"/>
        </w:rPr>
        <w:t>decyzja</w:t>
      </w:r>
      <w:r>
        <w:rPr>
          <w:color w:val="000000"/>
        </w:rPr>
        <w:t xml:space="preserve"> Nr 125/MON Ministra Obrony Narodowej z dnia 14 kwietnia 2011 r. w sprawie wprowadzenia Kodeksu etycznego postępowania pracowników i żołnierzy (Dz. Urz. Min. Obr. Nar. poz. 100).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12.  </w:t>
      </w:r>
      <w:r>
        <w:rPr>
          <w:color w:val="000000"/>
        </w:rPr>
        <w:t>Decyzja wchodzi w życie po upływie 14 dni od dnia ogłoszenia.</w:t>
      </w:r>
    </w:p>
    <w:p w:rsidR="00EB4059" w:rsidRDefault="00EB4059">
      <w:pPr>
        <w:spacing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 w:rsidP="003533F7">
      <w:pPr>
        <w:spacing w:before="80" w:after="0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ZASADY POSTĘPOWANIA W KONTAKTACH Z WYKONAWCAMI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Zasady postępowania w kontaktach z wykonawcami regulują postępowanie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wykonujących na rzecz Skarbu Państwa lub państwowej osoby prawnej odpłatne umowy, w szczególności na dostawy, świadczenie usług lub roboty budowlane;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które z racji zakresu prowadzonej działalności mogą starać się o zawarcie umów, o których mowa w pkt 1;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które działają w imieniu lub na rzecz podmiotów wskazanych w pkt 1 lub 2, zwanych dalej "wykonawcami".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W kontaktach z wykonawcami należy kierować się zasadami: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godności i honoru;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zdrowego rozsądku i umiaru;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ochrony dobrego imienia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pierwszeństwa interesów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unikania sytuacji, które mogłyby wywoływać powstanie długu materialnego lub honorowego albo poczucia wdzięczności;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bezstronności oraz unikania zachowań faworyzujących konkretnego wykonawcę w stosunku do jego konkurencji.</w:t>
      </w:r>
    </w:p>
    <w:p w:rsidR="00EB4059" w:rsidRDefault="00EB4059">
      <w:pPr>
        <w:spacing w:after="0"/>
      </w:pP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1439A7" w:rsidRDefault="001439A7" w:rsidP="00E3433B">
      <w:pPr>
        <w:spacing w:before="146" w:after="0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Rozliczanie kosztów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4.  </w:t>
      </w:r>
    </w:p>
    <w:p w:rsidR="00EB4059" w:rsidRDefault="001439A7">
      <w:pPr>
        <w:spacing w:before="26" w:after="0"/>
      </w:pPr>
      <w:r>
        <w:rPr>
          <w:color w:val="000000"/>
        </w:rPr>
        <w:t>1.  Przy rozliczaniu kosztów poniesionych w związku z bezpośrednimi kontaktami z wykonawcami należy przyjąć zasadę "każdy płaci za siebie",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koszty podróży służbowych, w tym koszty dojazdów, wyżywienia i noclegów pokrywa się wyłącznie z budżetu, którego dysponentem jest Minister Obrony Narodowej;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 restauracjach i innych miejscach wspólnego przebywania rachunki należy opłacać z własnych środków w ramach późniejszego rozliczenia służbowego, lub ze środków pochodzących z budżetu, którego dysponentem jest Minister Obrony Narodowej (karty płatnicze).</w:t>
      </w:r>
    </w:p>
    <w:p w:rsidR="00EB4059" w:rsidRDefault="001439A7">
      <w:pPr>
        <w:spacing w:before="26" w:after="0"/>
      </w:pPr>
      <w:r>
        <w:rPr>
          <w:color w:val="000000"/>
        </w:rPr>
        <w:t>2.  Niedopuszczalne jest korzystanie z fundowanego przez wykonawców wyżywienia, transportu, ani z pokrywania przez nich innych kosztów i zobowiązań z wyjątkiem: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drobnych poczęstunków serwowanych w trakcie podróży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transportu związanego z wykonywaniem zadań w ramach podróży służbowych.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Przedsięwzięcia i spotkania z udziałem wykonawców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5.  </w:t>
      </w:r>
    </w:p>
    <w:p w:rsidR="00EB4059" w:rsidRDefault="001439A7">
      <w:pPr>
        <w:spacing w:before="26" w:after="0"/>
      </w:pPr>
      <w:r>
        <w:rPr>
          <w:color w:val="000000"/>
        </w:rPr>
        <w:t>1.  Dopuszczalne są przedsięwzięcia związane z zawarciem lub realizacją umowy, organizowane wspólnie przez komórki lub jednostki organizacyjne oraz wykonawców.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udzielanie pomocy krajowym przedsiębiorstwom sektora obronnego w przedsięwzięciach promocyjnych skierowanych na rynki zagraniczne, w tym w ramach 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</w:t>
      </w:r>
    </w:p>
    <w:p w:rsidR="00EB4059" w:rsidRDefault="001439A7">
      <w:pPr>
        <w:spacing w:before="26" w:after="0"/>
      </w:pPr>
      <w:r>
        <w:rPr>
          <w:color w:val="000000"/>
        </w:rPr>
        <w:t>3.  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EB4059" w:rsidRDefault="001439A7">
      <w:pPr>
        <w:spacing w:before="26" w:after="0"/>
      </w:pPr>
      <w:r>
        <w:rPr>
          <w:color w:val="000000"/>
        </w:rPr>
        <w:t xml:space="preserve">4.  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dowódcy, prezesa) w </w:t>
      </w:r>
      <w:r>
        <w:rPr>
          <w:color w:val="000000"/>
        </w:rPr>
        <w:lastRenderedPageBreak/>
        <w:t>przedsięwzięciu z udziałem wykonawców, pisemną zgodę wydaje jego bezpośredni przełożony.</w:t>
      </w:r>
    </w:p>
    <w:p w:rsidR="00EB4059" w:rsidRDefault="001439A7">
      <w:pPr>
        <w:spacing w:before="26" w:after="0"/>
      </w:pPr>
      <w:r>
        <w:rPr>
          <w:color w:val="000000"/>
        </w:rPr>
        <w:t>5.  Obowiązki, o których mowa w ust. 4, nie dotyczą przypadku, gdy organizatorem, lub współorganizatorem przedsięwzięcia jest Ministerstwo Obrony Narodowej lub inne instytucje krajowej administracji rządowej.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6.  </w:t>
      </w:r>
    </w:p>
    <w:p w:rsidR="00EB4059" w:rsidRDefault="001439A7">
      <w:pPr>
        <w:spacing w:before="26" w:after="0"/>
      </w:pPr>
      <w:r>
        <w:rPr>
          <w:color w:val="000000"/>
        </w:rPr>
        <w:t>1.  Wszelkie spotkania z wykonawcami, jeżeli nie mają charakteru: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przedsięwzięć wymienionych w § 5 ust. 1-3,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konferencji, seminariów lub sympozjów wymienionych w § 5 ust. 4 i 5,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spotkań towarzyskich, odbywających się poza godzinami pracy, podczas których nie poruszano żadnych kwestii służbowych,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spotkań o charakterze jedynie organizacyjno-porządkowym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powinny odbywać się przy udziale co najmniej dwóch osób będących przedstawicielami komórek lub jednostek organizacyjnych (zasada "wielu par oczu"), w przeciwnym wypadku całość spotkania powinna zostać utrwalona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2.  Utrwalenie przebiegu spotkania z wykonawcami za pomocą urządzeń i środków technicznych służących do utrwalania dźwięku albo obrazu i dźwięku, zwane dalej "zapisem", następuje po uprzednim uzyskaniu zgody wykonawcy na taki sposób utrwalenia przebiegu spotkania.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kontynuowanie spotkania z wykonawcą, który nie wyraził zgody na utrwalenie jego przebiegu, przy jednoczesnym braku możliwości zapewnienia udziału dwóch osób w spotkaniu, o którym mowa w ust. 1.</w:t>
      </w:r>
    </w:p>
    <w:p w:rsidR="00EB4059" w:rsidRDefault="001439A7">
      <w:pPr>
        <w:spacing w:before="26" w:after="0"/>
      </w:pPr>
      <w:r>
        <w:rPr>
          <w:color w:val="000000"/>
        </w:rPr>
        <w:t>4.  Zapis następuje za pomocą urządzeń i środków technicznych wykorzystujących technikę cyfrową, zapewniającą: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integralność zapisu;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kopiowanie zapisu pomiędzy urządzeniami, środkami technicznymi i informatycznymi nośnikami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zabezpieczenie zapisu, w szczególności przed utratą lub nieuzasadnioną zmianą;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odtworzenie zapisu także przy użyciu urządzeń i środków technicznych korygujących lub wzmacniających utrwalony dźwięk lub obraz;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udostępnienie zapisu na informatycznym nośniku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możliwość bieżącej kontroli dokonywanego zapisu.</w:t>
      </w:r>
    </w:p>
    <w:p w:rsidR="00EB4059" w:rsidRDefault="001439A7">
      <w:pPr>
        <w:spacing w:before="26" w:after="0"/>
      </w:pPr>
      <w:r>
        <w:rPr>
          <w:color w:val="000000"/>
        </w:rPr>
        <w:t>5.  Informatyczne nośniki danych na których dokonano zapisu podlegają zdeponowaniu w kancelarii komórki lub jednostki organizacyjnej, której pracownik lub żołnierz brał udział w spotkaniu z wykonawcą, gdzie następnie są archiwizowane przez okres 3 lat.</w:t>
      </w:r>
    </w:p>
    <w:p w:rsidR="00EB4059" w:rsidRDefault="00EB4059">
      <w:pPr>
        <w:spacing w:after="0"/>
      </w:pPr>
    </w:p>
    <w:p w:rsidR="003533F7" w:rsidRDefault="003533F7">
      <w:pPr>
        <w:spacing w:after="0"/>
      </w:pPr>
    </w:p>
    <w:p w:rsidR="003533F7" w:rsidRDefault="003533F7">
      <w:pPr>
        <w:spacing w:after="0"/>
      </w:pPr>
    </w:p>
    <w:p w:rsidR="00E3433B" w:rsidRDefault="00E3433B">
      <w:pPr>
        <w:spacing w:after="0"/>
      </w:pPr>
    </w:p>
    <w:p w:rsidR="003533F7" w:rsidRDefault="003533F7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4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Sponsorowanie przedsięwzięć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Prezenty, materiały promocyjne i informacyjne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8.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przyjmowanie od wykonawców prezentów w postaci jakichkolwiek korzyści majątkowych lub osobistych.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przyjmowanie materiałów promocyjnych o znikomej wartości handlowej.</w:t>
      </w:r>
    </w:p>
    <w:p w:rsidR="00EB4059" w:rsidRDefault="001439A7">
      <w:pPr>
        <w:spacing w:before="26" w:after="0"/>
      </w:pPr>
      <w:r>
        <w:rPr>
          <w:color w:val="000000"/>
        </w:rPr>
        <w:t>3.  Dopuszczalne i zalecane jest przyjmowanie materiałów informacyjnych.</w:t>
      </w:r>
    </w:p>
    <w:p w:rsidR="00EB4059" w:rsidRDefault="001439A7">
      <w:pPr>
        <w:spacing w:before="26" w:after="0"/>
      </w:pPr>
      <w:r>
        <w:rPr>
          <w:color w:val="000000"/>
        </w:rPr>
        <w:t>4.  Dopuszcza się eksponowanie w salach konferencyjnych oraz w innych miejscach powszechnie dostępnych na terenie komórek i jednostek organizacyjnych otrzymanych od wykonawców materiałów promujących Siły Zbrojne Rzeczypospolitej Polskiej.</w:t>
      </w:r>
    </w:p>
    <w:p w:rsidR="00EB4059" w:rsidRDefault="001439A7">
      <w:pPr>
        <w:spacing w:before="26" w:after="0"/>
      </w:pPr>
      <w:r>
        <w:rPr>
          <w:color w:val="000000"/>
        </w:rPr>
        <w:t>5.  Niewskazane jest używanie na terenie komórek i jednostek organizacyjnych materiałów i oznaczeń promujących wykonawców, w tym także materiałów biurowych.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Kontakty towarzyskie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9.  </w:t>
      </w:r>
    </w:p>
    <w:p w:rsidR="00EB4059" w:rsidRDefault="001439A7">
      <w:pPr>
        <w:spacing w:before="26" w:after="0"/>
      </w:pPr>
      <w:r>
        <w:rPr>
          <w:color w:val="000000"/>
        </w:rPr>
        <w:t>1.  Kontakty towarzyskie z wykonawcami, nawiązane zanim powstały relacje wynikające z wykonywanych obowiązków mogą być kontynuowane, przy zachowaniu zasad określonych w § 3 niniejszego załącznika.</w:t>
      </w:r>
    </w:p>
    <w:p w:rsidR="00EB4059" w:rsidRDefault="001439A7">
      <w:pPr>
        <w:spacing w:before="26" w:after="0"/>
      </w:pPr>
      <w:r>
        <w:rPr>
          <w:color w:val="000000"/>
        </w:rPr>
        <w:t>2.  W przypadkach innych niż określone w ust. 1, nie zaleca się nawiązywania kontaktów towarzyskich z wykonawcami.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7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Najem i użyczanie lokali oraz terenów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10.  </w:t>
      </w:r>
      <w:r>
        <w:rPr>
          <w:color w:val="000000"/>
        </w:rPr>
        <w:t>Dopuszczalne jest wynajmowanie lub użyczanie wykonawcom lokali i terenów resortu obrony narodowej w celu: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przeprowadzenia prezentacji lub pokazów na rzecz komórek lub jednostek organizacyjnych;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przeprowadzenia prezentacji lub pokazów organizowanych przez krajowe przedsiębiorstwa sektora obronnego dla odbiorców zagranicznych;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3) realizowania zadań przez Agencję Mienia Wojskowego, wynikających z odrębnych przepisów.</w:t>
      </w: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8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Prezentacje, pokazy i referencje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11.  </w:t>
      </w:r>
    </w:p>
    <w:p w:rsidR="00EB4059" w:rsidRDefault="001439A7">
      <w:pPr>
        <w:spacing w:before="26" w:after="0"/>
      </w:pPr>
      <w:r>
        <w:rPr>
          <w:color w:val="000000"/>
        </w:rPr>
        <w:t>1. 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prezentacje lub pokazy odbywały się na terenie komórek i jednostek organizacyjnych lub podczas targów.</w:t>
      </w:r>
    </w:p>
    <w:p w:rsidR="00EB4059" w:rsidRDefault="001439A7">
      <w:pPr>
        <w:spacing w:before="26" w:after="0"/>
      </w:pPr>
      <w:r>
        <w:rPr>
          <w:color w:val="000000"/>
        </w:rPr>
        <w:t>3.  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Niedopuszczalne jest obciążanie Skarbu Państwa - Ministra Obrony Narodowej, lub państwowej osoby prawnej kosztami organizowanych prezentacji lub pokazów, z wyłączeniem opłat z tytułu zużytych mediów i wstawek konferencyjnych.</w:t>
      </w:r>
    </w:p>
    <w:p w:rsidR="00EB4059" w:rsidRDefault="001439A7">
      <w:pPr>
        <w:spacing w:before="26" w:after="0"/>
      </w:pPr>
      <w:r>
        <w:rPr>
          <w:color w:val="000000"/>
        </w:rPr>
        <w:t>5.  W celu zbierania niezbędnych doświadczeń i informacji dyrektorzy (szefowie, komendanci, kierownicy, dowódcy, prezesi) komórek i jednostek organizacyjnych mogą za pisemną zgodą bezpośredniego przełożonego organizować prezentacje i pokazy z udziałem wykonawców.</w:t>
      </w:r>
    </w:p>
    <w:p w:rsidR="00EB4059" w:rsidRDefault="001439A7">
      <w:pPr>
        <w:spacing w:before="26" w:after="0"/>
      </w:pPr>
      <w:r>
        <w:rPr>
          <w:color w:val="000000"/>
        </w:rPr>
        <w:t>6. 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7.  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12.  </w:t>
      </w:r>
    </w:p>
    <w:p w:rsidR="00EB4059" w:rsidRDefault="001439A7">
      <w:pPr>
        <w:spacing w:before="26" w:after="0"/>
      </w:pPr>
      <w:r>
        <w:rPr>
          <w:color w:val="000000"/>
        </w:rPr>
        <w:t>1.  Dopuszczalne jest udzielenie wykonawcy pozytywnych referencji (poświadczenia) w związku z należytym wykonaniem przez niego umowy.</w:t>
      </w:r>
    </w:p>
    <w:p w:rsidR="00EB4059" w:rsidRDefault="001439A7">
      <w:pPr>
        <w:spacing w:before="26" w:after="0"/>
      </w:pPr>
      <w:r>
        <w:rPr>
          <w:color w:val="000000"/>
        </w:rPr>
        <w:t>2.  Referencji, o których mowa w ust. 1, udziela w formie pisemnej zamawiający po uprzednim ustaleniu należytego wykonania umowy.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udzielanie referencji, o których mowa w ust. 1, wykonawcom, w stosunku do których zamawiający uprawniony jest do zgłoszenia roszczeń z tytułu niewykonania lub nienależytego wykonania umowy, której mają dotyczyć referencje.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9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Faworyzowanie i konflikt interesów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13.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faworyzowanie wykonawcy, polegające w szczególności na: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wcześniejszym udzielaniu mu informacji,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nieuzasadnionym ograniczeniu innym wykonawcom dostępu do informacji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które może stawiać go w uprzywilejowanej pozycji w stosunku do innych wykonawców.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i bezstronnym wykonywaniem realizowanych przez nich obowiązków (postrzegalny konflikt interesów).</w:t>
      </w:r>
    </w:p>
    <w:p w:rsidR="00EB4059" w:rsidRDefault="001439A7">
      <w:pPr>
        <w:spacing w:before="26" w:after="0"/>
      </w:pPr>
      <w:r>
        <w:rPr>
          <w:color w:val="000000"/>
        </w:rPr>
        <w:t>3.  Przez konflikt interesów należy rozumieć, w szczególności posiadanie powiązań o charakterze finansowym, rodzinnym lub towarzyskim z wykonawcą.</w:t>
      </w:r>
    </w:p>
    <w:p w:rsidR="00EB4059" w:rsidRDefault="001439A7">
      <w:pPr>
        <w:spacing w:before="26" w:after="0"/>
      </w:pPr>
      <w:r>
        <w:rPr>
          <w:color w:val="000000"/>
        </w:rPr>
        <w:t>4. 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:rsidR="00EB4059" w:rsidRDefault="001439A7">
      <w:pPr>
        <w:spacing w:before="26" w:after="0"/>
      </w:pPr>
      <w:r>
        <w:rPr>
          <w:color w:val="000000"/>
        </w:rPr>
        <w:t>5.  Czynnością zaradczą, o której mowa w ust. 4, może być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wydanie dyspozycji o konieczności udziału minimum dwóch osób w realizacji określonych czynności (zasada "wielu par oczu"),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włączenie dodatkowych mechanizmów nadzorczych, w tym kontrolnych, lub sprawozdawczych w realizacji określonych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wyłączenie osoby pozostającej w konflikcie interesów z udziału w określonej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doprowadzenie do rozwiązania umowy cywilnoprawnej zawartej z osobą fizyczną, o której mowa w ust. 2.</w:t>
      </w:r>
    </w:p>
    <w:p w:rsidR="00EB4059" w:rsidRDefault="001439A7">
      <w:pPr>
        <w:spacing w:before="26" w:after="0"/>
      </w:pPr>
      <w:r>
        <w:rPr>
          <w:color w:val="000000"/>
        </w:rPr>
        <w:t xml:space="preserve">6. 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</w:t>
      </w:r>
      <w:r>
        <w:rPr>
          <w:color w:val="000000"/>
        </w:rPr>
        <w:lastRenderedPageBreak/>
        <w:t>przez osobę, pozostającą w konflikcie interesów jest wystarczające do jego skutecznej kontroli.</w:t>
      </w:r>
    </w:p>
    <w:p w:rsidR="00EB4059" w:rsidRDefault="001439A7">
      <w:pPr>
        <w:spacing w:before="26" w:after="0"/>
      </w:pPr>
      <w:r>
        <w:rPr>
          <w:color w:val="000000"/>
        </w:rPr>
        <w:t>7. 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10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Sprawozdawczość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14.  </w:t>
      </w:r>
    </w:p>
    <w:p w:rsidR="00EB4059" w:rsidRDefault="001439A7">
      <w:pPr>
        <w:spacing w:before="26" w:after="0"/>
      </w:pPr>
      <w:r>
        <w:rPr>
          <w:color w:val="000000"/>
        </w:rPr>
        <w:t>1. 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- również szczegółowych danych uzyskanych od wykonawcy i przekazanych wykonawcy. Istnieje możliwość sporządzenia wspólnej notatki przez osoby uczestniczące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2.  Notatkę, o której mowa w ust. 1, sporządza się również w przypadku kontaktów z podmiotami zainteresowanymi nabyciem nieruchomości Skarbu Państwa lub mienia ruchomego o wartości księgowej przekraczającej 10.000 złotych.</w:t>
      </w:r>
    </w:p>
    <w:p w:rsidR="00EB4059" w:rsidRDefault="001439A7">
      <w:pPr>
        <w:spacing w:before="26" w:after="0"/>
      </w:pPr>
      <w:r>
        <w:rPr>
          <w:color w:val="000000"/>
        </w:rPr>
        <w:t>3.  Treść notatki zamieszcza się w terminie 14 dni od dnia przeprowadzenia kontaktu w wewnętrznej sieci elektronicznej w zakładce pod nazwą "kontakty z wykonawcami".</w:t>
      </w:r>
    </w:p>
    <w:p w:rsidR="00EB4059" w:rsidRDefault="001439A7">
      <w:pPr>
        <w:spacing w:before="26" w:after="0"/>
      </w:pPr>
      <w:r>
        <w:rPr>
          <w:color w:val="000000"/>
        </w:rPr>
        <w:t>4.  Obowiązek, o którym mowa w ust. 1 i 3, nie dotyczy: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czynności zamawiającego podejmowanych od chwili wyboru wykonawcy do chwili podpisania umowy oraz czynności związanych z wykonywaniem zawartych umów, o ile czynności te podejmowane są przez uprzednio pisemnie wyznaczone osoby;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kontaktów mających charakter oficjalnej korespondencji dokonywanej w formie pisemnej lub realizowanej przy pomocy faksu albo służbowej poczty elektronicznej;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kontaktów mających miejsce w związku z realizacją fazy analityczno-koncepcyjnej, 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kontaktów dotyczących jedynie zagadnień o charakterze organizacyjno- porządkowym;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6) kontaktów o charakterze wyłącznie towarzyskim, odbywających się poza godzinami pracy, w trakcie których nie poruszano żadnych kwestii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7) prezentacji i pokazów organizowanych na podstawie § 11 ust. 5;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8) kontaktów realizowanych w celu wykonywania obowiązków przewidzianych w ustawie 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9) 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5.  W wewnętrznej sieci elektronicznej nie powinny być zamieszczane notatki sporządzane ze spotkań z wykonawcami, w przypadku gdyby podlegały one szczególnej ochronie przewidzianej w ustawie o ochronie informacji niejawnych.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Wykładnia postanowień decyzji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15.  </w:t>
      </w:r>
    </w:p>
    <w:p w:rsidR="00EB4059" w:rsidRDefault="001439A7">
      <w:pPr>
        <w:spacing w:before="26" w:after="0"/>
      </w:pPr>
      <w:r>
        <w:rPr>
          <w:color w:val="000000"/>
        </w:rPr>
        <w:t>1.    Podmioty zainteresowane mogą zwrócić się z pisemnym wnioskiem do dyrektora komórki organizacyjnej Ministerstwa właściwej dla spraw procedur antykorupcyjnych o wydanie pisemnej opinii w sprawie interpretacji postanowień zawartych w decyzji, zwanej dalej "opinią,</w:t>
      </w:r>
    </w:p>
    <w:p w:rsidR="00EB4059" w:rsidRDefault="001439A7">
      <w:pPr>
        <w:spacing w:before="26" w:after="0"/>
      </w:pPr>
      <w:r>
        <w:rPr>
          <w:color w:val="000000"/>
        </w:rPr>
        <w:t>2.  Podmiot wnioskujący może zastrzec we wniosku, o którym mowa w ust. 1, anonimizację danych osobowych.</w:t>
      </w:r>
    </w:p>
    <w:p w:rsidR="00EB4059" w:rsidRDefault="001439A7">
      <w:pPr>
        <w:spacing w:before="26" w:after="0"/>
      </w:pPr>
      <w:r>
        <w:rPr>
          <w:color w:val="000000"/>
        </w:rPr>
        <w:t>3.  Opinia ma charakter wiążący dla wszystkich komórek i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  Dyrektor komórki organizacyjnej Ministerstwa właściwej dla spraw procedur antykorupcyjnych zamieszcza opinię w wewnętrznej sieci elektronicznej (intranet), w zakładce "kontakty z wykonawcami.</w:t>
      </w:r>
    </w:p>
    <w:p w:rsidR="00EB4059" w:rsidRDefault="001439A7">
      <w:pPr>
        <w:spacing w:before="26" w:after="0"/>
      </w:pPr>
      <w:r>
        <w:rPr>
          <w:color w:val="000000"/>
        </w:rPr>
        <w:t>5.    Dyrektor, o którym mowa w ust. 4, może odmówić wydania opinii w sprawach, które były już przedmiotem rozstrzygnięcia lub, w których stan faktyczny ma charakter analogiczny do uprzednio opiniowanej sprawy.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ZAPYTANIE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zapytania kierowanego do wykonawcy - organizatora przedsięwzięcia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(imię i nazwisko lub nazwa komórki/jednostki organizacyjnej kierującej zapytanie)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(niezbędne dane kontaktowe)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(dane wykonawcy)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ze skierowanym zaproszeniem do udziału Ministerstwa Obrony Narodowej/Sił Zbrojnych Rzeczypospolitej Polskiej w przedsięwzięciu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(nazwa, tytuł przedsięwzięcia)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uprzejmie proszę o przekazanie szczegółowych informacji, które umożliwią podjęcie decyzji, co do udziału w tym przedsięwzięciu.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 tym proszę o: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1) wskazanie organizatora oraz osób zarządzających przedsięwzięciem;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2) szczegółowe określenie celu przedsięwzięcia;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3) szczegółowe określenie proponowanej formy zaangażowania się jednostek lub przedstawicieli Ministerstwa Obrony Narodowej lub Sił Zbrojnych Rzeczypospolitej Polskiej;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4) szczegółowe przedstawienie programu;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5) przedstawienie listy współorganizatorów, partnerów, patronów, sponsorów, członków komitetów honorowych lub organizacyjnych oraz listy innych osób prawnych i fizycznych, których nazwy (nazwiska), logo, znaki towarowe będą publikowane lub promowane w związku z przedsięwzięciem.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(data, czytelny podpis kierującego zapytanie)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Notatka z organizacji przedsięwzięcia dotyczącego sprzętu wojskowego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Notatki na temat organizacji przedsięwzięcia dotyczącego sprzętu wojskowego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NAZWA KOMÓRKI.............................................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LUB JEDNOSTKI ORGANIZACYJNEJ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DYREKTOR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DEPARTAMENTU POLITYKI ZBROJENIOWEJ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1. Organizator przedsięwzięcia: 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 w:rsidP="001439A7">
      <w:pPr>
        <w:spacing w:before="25" w:after="0"/>
      </w:pPr>
      <w:r>
        <w:rPr>
          <w:color w:val="000000"/>
        </w:rPr>
        <w:t>2. Rodzaj przedsięwzięcia: 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Miejsce: 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Data: 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3. Program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4. Biorący udział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5. Sprzęt wojskowy wykorzystany podczas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6. Wnioski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1439A7" w:rsidRDefault="001439A7">
      <w:pPr>
        <w:spacing w:before="25" w:after="0"/>
        <w:jc w:val="both"/>
      </w:pP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(podpis dyrektora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)</w:t>
      </w:r>
    </w:p>
    <w:sectPr w:rsidR="00EB4059" w:rsidSect="006177F2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F2" w:rsidRDefault="006177F2" w:rsidP="006177F2">
      <w:pPr>
        <w:spacing w:after="0" w:line="240" w:lineRule="auto"/>
      </w:pPr>
      <w:r>
        <w:separator/>
      </w:r>
    </w:p>
  </w:endnote>
  <w:endnote w:type="continuationSeparator" w:id="0">
    <w:p w:rsidR="006177F2" w:rsidRDefault="006177F2" w:rsidP="0061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934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33F7" w:rsidRDefault="003533F7" w:rsidP="003533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06F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06F3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33F7" w:rsidRDefault="0035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F2" w:rsidRDefault="006177F2" w:rsidP="006177F2">
      <w:pPr>
        <w:spacing w:after="0" w:line="240" w:lineRule="auto"/>
      </w:pPr>
      <w:r>
        <w:separator/>
      </w:r>
    </w:p>
  </w:footnote>
  <w:footnote w:type="continuationSeparator" w:id="0">
    <w:p w:rsidR="006177F2" w:rsidRDefault="006177F2" w:rsidP="0061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F2" w:rsidRDefault="006177F2" w:rsidP="006177F2">
    <w:pPr>
      <w:spacing w:line="264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1425"/>
              <wp:effectExtent l="0" t="0" r="0" b="0"/>
              <wp:wrapNone/>
              <wp:docPr id="1" name="Prostokąt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14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4D0CCF7" id="Prostokąt 222" o:spid="_x0000_s1026" style="position:absolute;margin-left:0;margin-top:0;width:563.65pt;height:797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D06F3F">
      <w:rPr>
        <w:color w:val="4472C4" w:themeColor="accent1"/>
        <w:sz w:val="20"/>
        <w:szCs w:val="20"/>
      </w:rPr>
      <w:t xml:space="preserve">      </w:t>
    </w:r>
    <w:r>
      <w:rPr>
        <w:color w:val="4472C4" w:themeColor="accent1"/>
        <w:sz w:val="20"/>
        <w:szCs w:val="20"/>
      </w:rPr>
      <w:t xml:space="preserve"> </w:t>
    </w:r>
    <w:sdt>
      <w:sdtPr>
        <w:rPr>
          <w:rFonts w:ascii="Arial" w:hAnsi="Arial" w:cs="Arial"/>
          <w:szCs w:val="24"/>
        </w:rPr>
        <w:alias w:val="Tytuł"/>
        <w:id w:val="15524250"/>
        <w:placeholder>
          <w:docPart w:val="AADF4A4379744202967348188689DF8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4C4C66">
          <w:rPr>
            <w:rFonts w:ascii="Arial" w:hAnsi="Arial" w:cs="Arial"/>
            <w:szCs w:val="24"/>
          </w:rPr>
          <w:t>Załącznik nr 4</w:t>
        </w:r>
      </w:sdtContent>
    </w:sdt>
  </w:p>
  <w:p w:rsidR="006177F2" w:rsidRDefault="006177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52A74"/>
    <w:multiLevelType w:val="multilevel"/>
    <w:tmpl w:val="A610671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59"/>
    <w:rsid w:val="00136F5B"/>
    <w:rsid w:val="001439A7"/>
    <w:rsid w:val="0018733E"/>
    <w:rsid w:val="002D48EF"/>
    <w:rsid w:val="003533F7"/>
    <w:rsid w:val="00377077"/>
    <w:rsid w:val="004C4C66"/>
    <w:rsid w:val="00507108"/>
    <w:rsid w:val="006177F2"/>
    <w:rsid w:val="00695C47"/>
    <w:rsid w:val="007B7377"/>
    <w:rsid w:val="00BA5118"/>
    <w:rsid w:val="00D06F3F"/>
    <w:rsid w:val="00E3433B"/>
    <w:rsid w:val="00E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98A3AB"/>
  <w15:docId w15:val="{9BF30731-5DB2-4377-828D-756B923F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61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7F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7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DF4A4379744202967348188689D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2BD9F-E55E-48D2-8B2E-655F6389113E}"/>
      </w:docPartPr>
      <w:docPartBody>
        <w:p w:rsidR="00163B25" w:rsidRDefault="00EC55B0" w:rsidP="00EC55B0">
          <w:pPr>
            <w:pStyle w:val="AADF4A4379744202967348188689DF85"/>
          </w:pPr>
          <w:r>
            <w:rPr>
              <w:color w:val="5B9BD5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B0"/>
    <w:rsid w:val="00163B25"/>
    <w:rsid w:val="00E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DF4A4379744202967348188689DF85">
    <w:name w:val="AADF4A4379744202967348188689DF85"/>
    <w:rsid w:val="00EC5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69BB6A-183F-4E1F-8BC6-5638E9F2F8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4041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MON</Company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Karmel Aleksandra</dc:creator>
  <cp:lastModifiedBy>Kosim Mariola</cp:lastModifiedBy>
  <cp:revision>7</cp:revision>
  <cp:lastPrinted>2025-03-05T10:02:00Z</cp:lastPrinted>
  <dcterms:created xsi:type="dcterms:W3CDTF">2022-04-29T08:39:00Z</dcterms:created>
  <dcterms:modified xsi:type="dcterms:W3CDTF">2025-03-05T10:02:00Z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71411684-f98e-4f12-b21d-279f4c8cb5b2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nOEBhgO/B+U2x3wEyZ7ETKJYdgGICPXN</vt:lpwstr>
  </property>
  <property fmtid="{D5CDD505-2E9C-101B-9397-08002B2CF9AE}" pid="7" name="s5636:Creator type=author">
    <vt:lpwstr>Karmel Aleksandra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