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right"/>
      </w:pPr>
      <w:r>
        <w:rPr>
          <w:rStyle w:val="CharStyle3"/>
          <w:b/>
          <w:bCs/>
        </w:rPr>
        <w:t>Załącznik nr 7 do SWZ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0" w:name="bookmark0"/>
      <w:r>
        <w:rPr>
          <w:rStyle w:val="CharStyle6"/>
          <w:b/>
          <w:bCs/>
        </w:rPr>
        <w:t>SZCZEGÓŁOWY OPIS PRZEDMIOTU ZAMÓWIENIA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rStyle w:val="CharStyle3"/>
          <w:b/>
          <w:bCs/>
          <w:i/>
          <w:iCs/>
        </w:rPr>
        <w:t>Kompleksowa dostawa paliwa gazowego na potrzeby obiektów zlokalizowanych na terenie gminy Izabelin.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1" w:val="left"/>
          <w:tab w:pos="3291" w:val="left"/>
        </w:tabs>
        <w:bidi w:val="0"/>
        <w:spacing w:before="0" w:after="0" w:line="240" w:lineRule="auto"/>
        <w:ind w:left="480" w:right="0" w:hanging="480"/>
        <w:jc w:val="both"/>
      </w:pPr>
      <w:r>
        <w:rPr>
          <w:rStyle w:val="CharStyle3"/>
        </w:rPr>
        <w:t>Przedmiotem zamówienia jest dostawa wysokometanowego gazu ziemnego przez okres 24 miesięcy - od 01.01.2025 r. do 31.12.2026</w:t>
        <w:tab/>
        <w:t>r., obejmująca sprzedaż i dystrybucję gazu dla potrzeb obiektów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0" w:right="0" w:firstLine="0"/>
        <w:jc w:val="both"/>
      </w:pPr>
      <w:r>
        <w:rPr>
          <w:rStyle w:val="CharStyle3"/>
        </w:rPr>
        <w:t>zlokalizowanych na terenie gminy Izabelin. Zamówienie będzie realizowane na potrzeby niżej wymienionych obiektów: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1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rStyle w:val="CharStyle3"/>
        </w:rPr>
        <w:t>Urząd Gminy Izabelin, ul. 3 Maja 42, 05-080 Izabelin;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1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rStyle w:val="CharStyle3"/>
        </w:rPr>
        <w:t>Centrum Usług Wspólnych Izabelin, Hornówek, ul. Szkolna 2A, 05-080 Izabelin;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1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rStyle w:val="CharStyle3"/>
        </w:rPr>
        <w:t>GOPS Izabelin, ul. 3 Maja 42, 05-080 Izabelin;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1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rStyle w:val="CharStyle3"/>
        </w:rPr>
        <w:t>Centrum Kultury Izabelin, ul. Tetmajera 3A, 05-080 Izabelin;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1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rStyle w:val="CharStyle3"/>
        </w:rPr>
        <w:t>Samodzielny Publiczny Zakład Opieki Zdrowotnej, ul. Tetmajera 3A, 05-080 Izabelin;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5" w:val="left"/>
        </w:tabs>
        <w:bidi w:val="0"/>
        <w:spacing w:before="0" w:after="0" w:line="240" w:lineRule="auto"/>
        <w:ind w:left="1040" w:right="0" w:hanging="460"/>
        <w:jc w:val="both"/>
      </w:pPr>
      <w:r>
        <w:rPr>
          <w:rStyle w:val="CharStyle3"/>
        </w:rPr>
        <w:t>Gminne Przedsiębiorstwo Wodociągów i Kanalizacji Izabelin Mokre Łąki, Truskaw, ul. Mokre Łąki 8, 05-080 Izabelin;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1" w:val="left"/>
        </w:tabs>
        <w:bidi w:val="0"/>
        <w:spacing w:before="0" w:after="240" w:line="240" w:lineRule="auto"/>
        <w:ind w:left="0" w:right="0" w:firstLine="580"/>
        <w:jc w:val="both"/>
      </w:pPr>
      <w:r>
        <w:rPr>
          <w:rStyle w:val="CharStyle3"/>
        </w:rPr>
        <w:t>RYŚ Izabelin Sp. z o.o., ul. Wieczorka 50, 05-080 Izabelin.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after="120" w:line="233" w:lineRule="auto"/>
        <w:ind w:right="0" w:hanging="480"/>
        <w:jc w:val="both"/>
      </w:pPr>
      <w:bookmarkStart w:id="2" w:name="bookmark2"/>
      <w:r>
        <w:rPr>
          <w:rStyle w:val="CharStyle6"/>
          <w:b/>
          <w:bCs/>
        </w:rPr>
        <w:t>Całkowite orientacyjne, przewidywane przez zamawiającego zużycie paliwa w całym okresie obowiązywania umowy wynosi 2678 MWh.</w:t>
      </w:r>
      <w:bookmarkEnd w:id="2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3"/>
        </w:rPr>
        <w:t>Szczegółowe informacje na temat obowiązujących taryf i zużycia paliwa w poszczególnych punktach poboru zostały zawarte w Załączniku nr 8 do SWZ - Prognoza zużycia.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Wykonawca zobowiązany jest do posiadania: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5" w:val="left"/>
        </w:tabs>
        <w:bidi w:val="0"/>
        <w:spacing w:before="0" w:after="0" w:line="240" w:lineRule="auto"/>
        <w:ind w:left="1040" w:right="0" w:hanging="460"/>
        <w:jc w:val="both"/>
      </w:pPr>
      <w:r>
        <w:rPr>
          <w:rStyle w:val="CharStyle3"/>
        </w:rPr>
        <w:t>aktualnej koncesji na prowadzenie działalności gospodarczej w zakresie obrotu (sprzedaży) gazu ziemnego,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5" w:val="left"/>
        </w:tabs>
        <w:bidi w:val="0"/>
        <w:spacing w:before="0" w:line="240" w:lineRule="auto"/>
        <w:ind w:left="1040" w:right="0" w:hanging="460"/>
        <w:jc w:val="both"/>
      </w:pPr>
      <w:r>
        <w:rPr>
          <w:rStyle w:val="CharStyle3"/>
        </w:rPr>
        <w:t>aktualnej koncesji w zakresie dystrybucji gazu ziemnego lub aktualnej generalnej umowy z Operatorem Systemu Dystrybucyjnego (OSD) na świadczenie usług dystrybucji gazu ziemnego na obszarze, na którym znajduje się miejsce dostarczania gazu ziemnego zawartej na okres nie krótszy niż termin realizacji zamówienia.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3"/>
        </w:rPr>
        <w:t>Dostarczony gaz ziemny powinien spełniać wymagania prawne i parametry techniczne zgodnie z postanowieniami ustawy z dnia 10 kwietnia 1997 r. Prawo energetyczne (t.j. Dz. U. z 2024 r. poz. 266 ze zm.) i aktami wykonawczymi wydanymi na jej podstawie oraz ustawy z dnia 16 lutego 2007 r. o zapasach ropy naftowej, produktów naftowych i gazu ziemnego oraz zasadach postępowania w sytuacjach zagrożenia bezpieczeństwa paliwowego państwa i zakłóceń na rynku naftowym (t.j. Dz.U. z 2022 r. poz. 1537 ze zm.).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3"/>
        </w:rPr>
        <w:t>Zapotrzebowanie na gaz ziemny, wskazane w Załączniku nr 8 do SWZ może odbiegać od faktycznego zużycia gazu w okresie trwania umowy, jest szacunkowe i ma charakter prognozy, dokonanej przez zamawiającego na podstawie danych zużycia gazu w poprzednich okresach.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3"/>
        </w:rPr>
        <w:t>Rozliczenia za dostarczany gaz ziemny w poszczególnych miesiącach lat 2025-2026 będą się odbywać na podstawie bieżących wskazań układów pomiarowo-rozliczeniowych w punktach poboru gazu i wg cen oferowanych przez Wykonawcę, a podana w ust. 2 planowana orientacyjna ilość zużycia gazu nie stanowi zobowiązania ze strony Zamawiającego do zakupu gazu ziemnego w podanej ilości.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3"/>
        </w:rPr>
        <w:t>Zamawiający podłączony jest do sieci dystrybucyjnej należącej do Operatora Systemu Dystrybucyjnego (OSD) Polska Spółka Gazownictwa Sp. z o.o. w Warszawie.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3"/>
        </w:rPr>
        <w:t>Umowa kompleksowa, z obecnym dostawcą paliwa gazowego do obiektów wymienionych w ust. 1 tj. z PGNiG Obrót Detaliczny Sp. z o.o., ul. Jana Kazimierza 3, 01-248 Warszawa, obowiązuje do dnia 31 grudnia 2024 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3"/>
        </w:rPr>
        <w:t>Wykonawca jest zobowiązany do przeprowadzenia w imieniu zamawiającego procedury zmiany sprzedawcy, tj. do złożenia w imieniu Zamawiającego u Operatorów Systemów Dystrybucyjnych (OSD) wniosków w sprawie zgłoszenia zmiany sprzedawcy paliwa gazowego. Wnioski powinny być złożone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8750"/>
      </w:tblGrid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w terminie umożliwiającym dokonanie skutecznej zmiany u Operatorów Systemów Dystrybucyjnych (OSD) przed terminem rozpoczęcia dostaw gazu do budynków wskazanych w Załączniku nr 8 do SWZ.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11.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Stawka zaoferowana przez Wykonawcę nie będzie podlegała zmianom przez okres realizacji zamówienia, z wyjątkiem zmiany podatku VAT.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417" w:right="1382" w:bottom="1188" w:left="1389" w:header="989" w:footer="76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główek #1_"/>
    <w:basedOn w:val="DefaultParagraphFont"/>
    <w:link w:val="Style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Inne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  <w:spacing w:after="1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główek #1"/>
    <w:basedOn w:val="Normal"/>
    <w:link w:val="CharStyle6"/>
    <w:pPr>
      <w:widowControl w:val="0"/>
      <w:shd w:val="clear" w:color="auto" w:fill="auto"/>
      <w:spacing w:after="180" w:line="235" w:lineRule="auto"/>
      <w:ind w:left="480" w:hanging="24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Inne"/>
    <w:basedOn w:val="Normal"/>
    <w:link w:val="CharStyle9"/>
    <w:pPr>
      <w:widowControl w:val="0"/>
      <w:shd w:val="clear" w:color="auto" w:fill="auto"/>
      <w:spacing w:after="1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DAREK</dc:creator>
  <cp:keywords/>
</cp:coreProperties>
</file>