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Siatka"/>
        <w:tblpPr w:leftFromText="141" w:rightFromText="141" w:horzAnchor="margin" w:tblpXSpec="center" w:tblpY="-1413"/>
        <w:tblW w:w="16160" w:type="dxa"/>
        <w:tblLayout w:type="fixed"/>
        <w:tblLook w:val="04A0" w:firstRow="1" w:lastRow="0" w:firstColumn="1" w:lastColumn="0" w:noHBand="0" w:noVBand="1"/>
      </w:tblPr>
      <w:tblGrid>
        <w:gridCol w:w="709"/>
        <w:gridCol w:w="7221"/>
        <w:gridCol w:w="6"/>
        <w:gridCol w:w="5951"/>
        <w:gridCol w:w="2273"/>
      </w:tblGrid>
      <w:tr w:rsidR="0022666F" w:rsidRPr="0022666F" w:rsidTr="0022666F">
        <w:trPr>
          <w:trHeight w:val="1132"/>
        </w:trPr>
        <w:tc>
          <w:tcPr>
            <w:tcW w:w="16160" w:type="dxa"/>
            <w:gridSpan w:val="5"/>
            <w:vAlign w:val="center"/>
          </w:tcPr>
          <w:p w:rsidR="0022666F" w:rsidRPr="0022666F" w:rsidRDefault="006B4A22" w:rsidP="0022666F">
            <w:pPr>
              <w:spacing w:line="276" w:lineRule="auto"/>
              <w:ind w:left="1985" w:hanging="1985"/>
              <w:jc w:val="center"/>
              <w:rPr>
                <w:rFonts w:cs="Arial"/>
                <w:sz w:val="24"/>
              </w:rPr>
            </w:pPr>
            <w:r>
              <w:rPr>
                <w:rFonts w:eastAsia="Times New Roman" w:cs="Arial"/>
                <w:spacing w:val="-9"/>
                <w:sz w:val="24"/>
                <w:lang w:eastAsia="pl-PL"/>
              </w:rPr>
              <w:t xml:space="preserve">                                                                                                                                        </w:t>
            </w:r>
            <w:r w:rsidR="0022666F" w:rsidRPr="0022666F">
              <w:rPr>
                <w:rFonts w:eastAsia="Times New Roman" w:cs="Arial"/>
                <w:spacing w:val="-9"/>
                <w:sz w:val="24"/>
                <w:lang w:eastAsia="pl-PL"/>
              </w:rPr>
              <w:t xml:space="preserve">PORÓWNANIE NORM </w:t>
            </w:r>
            <w:r>
              <w:rPr>
                <w:rFonts w:eastAsia="Times New Roman" w:cs="Arial"/>
                <w:spacing w:val="-9"/>
                <w:sz w:val="24"/>
                <w:lang w:eastAsia="pl-PL"/>
              </w:rPr>
              <w:t xml:space="preserve">                                                                                                 </w:t>
            </w:r>
            <w:r w:rsidRPr="00E23968">
              <w:rPr>
                <w:rFonts w:eastAsia="Times New Roman" w:cs="Arial"/>
                <w:b/>
                <w:spacing w:val="-9"/>
                <w:sz w:val="24"/>
                <w:lang w:eastAsia="pl-PL"/>
              </w:rPr>
              <w:t>Załącznik nr 17 do PFU</w:t>
            </w:r>
          </w:p>
          <w:p w:rsidR="0022666F" w:rsidRPr="0022666F" w:rsidRDefault="0022666F" w:rsidP="0022666F"/>
        </w:tc>
      </w:tr>
      <w:tr w:rsidR="0022666F" w:rsidRPr="0022666F" w:rsidTr="0022666F">
        <w:trPr>
          <w:trHeight w:val="526"/>
        </w:trPr>
        <w:tc>
          <w:tcPr>
            <w:tcW w:w="16160" w:type="dxa"/>
            <w:gridSpan w:val="5"/>
            <w:shd w:val="clear" w:color="auto" w:fill="DBDBDB" w:themeFill="accent3" w:themeFillTint="66"/>
          </w:tcPr>
          <w:p w:rsidR="0022666F" w:rsidRPr="0022666F" w:rsidRDefault="0022666F" w:rsidP="0022666F">
            <w:pPr>
              <w:jc w:val="center"/>
            </w:pPr>
            <w:r>
              <w:rPr>
                <w:b/>
                <w:sz w:val="32"/>
              </w:rPr>
              <w:t>ODLEGŁOŚCI MIĘDZY ZESPOŁAMI KONTENERÓW</w:t>
            </w:r>
          </w:p>
        </w:tc>
      </w:tr>
      <w:tr w:rsidR="0022666F" w:rsidRPr="0022666F" w:rsidTr="007F0E3C">
        <w:trPr>
          <w:trHeight w:val="20"/>
        </w:trPr>
        <w:tc>
          <w:tcPr>
            <w:tcW w:w="709" w:type="dxa"/>
            <w:vMerge w:val="restart"/>
            <w:textDirection w:val="btLr"/>
          </w:tcPr>
          <w:p w:rsidR="0022666F" w:rsidRPr="0022666F" w:rsidRDefault="0022666F" w:rsidP="0022666F">
            <w:pPr>
              <w:ind w:left="113" w:right="113"/>
              <w:jc w:val="center"/>
              <w:rPr>
                <w:b/>
              </w:rPr>
            </w:pPr>
            <w:r w:rsidRPr="0022666F">
              <w:rPr>
                <w:b/>
              </w:rPr>
              <w:t xml:space="preserve">NORMA </w:t>
            </w:r>
          </w:p>
        </w:tc>
        <w:tc>
          <w:tcPr>
            <w:tcW w:w="7227" w:type="dxa"/>
            <w:gridSpan w:val="2"/>
            <w:shd w:val="clear" w:color="auto" w:fill="FBE4D5" w:themeFill="accent2" w:themeFillTint="33"/>
          </w:tcPr>
          <w:p w:rsidR="0022666F" w:rsidRPr="0022666F" w:rsidRDefault="0022666F" w:rsidP="0022666F">
            <w:pPr>
              <w:tabs>
                <w:tab w:val="center" w:pos="3435"/>
                <w:tab w:val="left" w:pos="5311"/>
              </w:tabs>
            </w:pPr>
            <w:r w:rsidRPr="0022666F">
              <w:tab/>
              <w:t xml:space="preserve">US: </w:t>
            </w:r>
            <w:r w:rsidRPr="000E638B">
              <w:rPr>
                <w:b/>
              </w:rPr>
              <w:t xml:space="preserve"> UFC 1-201-01, Change 4</w:t>
            </w:r>
            <w:r w:rsidRPr="0022666F">
              <w:tab/>
            </w:r>
          </w:p>
        </w:tc>
        <w:tc>
          <w:tcPr>
            <w:tcW w:w="5951" w:type="dxa"/>
            <w:shd w:val="clear" w:color="auto" w:fill="DEEAF6" w:themeFill="accent1" w:themeFillTint="33"/>
          </w:tcPr>
          <w:p w:rsidR="0022666F" w:rsidRPr="0022666F" w:rsidRDefault="0022666F" w:rsidP="00E41B4C">
            <w:pPr>
              <w:tabs>
                <w:tab w:val="left" w:pos="1421"/>
                <w:tab w:val="center" w:pos="2783"/>
              </w:tabs>
            </w:pPr>
            <w:r w:rsidRPr="0022666F">
              <w:tab/>
            </w:r>
            <w:r w:rsidR="00E41B4C">
              <w:t>PL</w:t>
            </w:r>
          </w:p>
        </w:tc>
        <w:tc>
          <w:tcPr>
            <w:tcW w:w="2273" w:type="dxa"/>
          </w:tcPr>
          <w:p w:rsidR="0022666F" w:rsidRPr="0022666F" w:rsidRDefault="0022666F" w:rsidP="0022666F">
            <w:pPr>
              <w:jc w:val="center"/>
            </w:pPr>
            <w:r w:rsidRPr="0022666F">
              <w:t>MORE RESTRICTED</w:t>
            </w:r>
          </w:p>
        </w:tc>
      </w:tr>
      <w:tr w:rsidR="0022666F" w:rsidRPr="0022666F" w:rsidTr="007F0E3C">
        <w:trPr>
          <w:cantSplit/>
          <w:trHeight w:val="20"/>
        </w:trPr>
        <w:tc>
          <w:tcPr>
            <w:tcW w:w="709" w:type="dxa"/>
            <w:vMerge/>
            <w:textDirection w:val="btLr"/>
          </w:tcPr>
          <w:p w:rsidR="0022666F" w:rsidRPr="0022666F" w:rsidRDefault="0022666F" w:rsidP="0022666F">
            <w:pPr>
              <w:ind w:left="113" w:right="113"/>
              <w:jc w:val="center"/>
              <w:rPr>
                <w:b/>
              </w:rPr>
            </w:pPr>
          </w:p>
        </w:tc>
        <w:tc>
          <w:tcPr>
            <w:tcW w:w="7227" w:type="dxa"/>
            <w:gridSpan w:val="2"/>
          </w:tcPr>
          <w:p w:rsidR="0022666F" w:rsidRPr="0022666F" w:rsidRDefault="0022666F" w:rsidP="0022666F">
            <w:pPr>
              <w:autoSpaceDE w:val="0"/>
              <w:autoSpaceDN w:val="0"/>
              <w:adjustRightInd w:val="0"/>
              <w:jc w:val="center"/>
            </w:pPr>
          </w:p>
          <w:p w:rsidR="0022666F" w:rsidRDefault="0022666F" w:rsidP="0022666F">
            <w:r>
              <w:t>Między zespołami kontenerów mieszkalnych należy zapewnić odległość wynoszącą min. 9,1m (30 stóp), mierząc od najbardziej wysuniętego elementu. Wolna przestrzeń nie może być wykorzystywana do parkowania pojazdów, składowania lub roślinności innej niż trawniki.</w:t>
            </w:r>
          </w:p>
          <w:p w:rsidR="0022666F" w:rsidRPr="0022666F" w:rsidRDefault="0022666F" w:rsidP="0022666F">
            <w:pPr>
              <w:autoSpaceDE w:val="0"/>
              <w:autoSpaceDN w:val="0"/>
              <w:adjustRightInd w:val="0"/>
              <w:jc w:val="center"/>
              <w:rPr>
                <w:i/>
                <w:sz w:val="20"/>
              </w:rPr>
            </w:pPr>
          </w:p>
          <w:p w:rsidR="0022666F" w:rsidRPr="0022666F" w:rsidRDefault="0022666F" w:rsidP="0022666F">
            <w:pPr>
              <w:autoSpaceDE w:val="0"/>
              <w:autoSpaceDN w:val="0"/>
              <w:adjustRightInd w:val="0"/>
              <w:jc w:val="center"/>
            </w:pPr>
          </w:p>
        </w:tc>
        <w:tc>
          <w:tcPr>
            <w:tcW w:w="5951" w:type="dxa"/>
          </w:tcPr>
          <w:p w:rsidR="0022666F" w:rsidRPr="0022666F" w:rsidRDefault="0022666F" w:rsidP="0022666F">
            <w:pPr>
              <w:jc w:val="center"/>
            </w:pPr>
            <w:r>
              <w:t>W zespołach kontenerów mieszkalnych przeznaczonych do jednoczesnego przebywania do 50 osób należy zapewnić zachowanie odległości 8m pomiędzy poszczególnymi kontenerami lub zespołami kontenerów mieszkalnych. Przestrzeń 8m nie może być wykorzystywana do składowania jakichkolwiek materiałów lub sprzętu. Minimalna odległość może podlegać zwiększeniu powyżej 8m z uwagi na charakterystykę pożarową innych zespołów kontenerów.</w:t>
            </w:r>
          </w:p>
        </w:tc>
        <w:tc>
          <w:tcPr>
            <w:tcW w:w="2273" w:type="dxa"/>
          </w:tcPr>
          <w:p w:rsidR="0022666F" w:rsidRPr="0022666F" w:rsidRDefault="0022666F" w:rsidP="0022666F">
            <w:pPr>
              <w:jc w:val="center"/>
              <w:rPr>
                <w:rFonts w:cs="Arial"/>
                <w:b/>
                <w:sz w:val="20"/>
                <w:szCs w:val="20"/>
              </w:rPr>
            </w:pPr>
          </w:p>
          <w:p w:rsidR="0022666F" w:rsidRPr="0022666F" w:rsidRDefault="0022666F" w:rsidP="0022666F">
            <w:pPr>
              <w:jc w:val="center"/>
              <w:rPr>
                <w:sz w:val="20"/>
                <w:szCs w:val="20"/>
              </w:rPr>
            </w:pPr>
            <w:r>
              <w:t>min. 9,1m (30 stóp), mierząc od najbardziej wysuniętego elementu</w:t>
            </w:r>
          </w:p>
        </w:tc>
      </w:tr>
      <w:tr w:rsidR="0022666F" w:rsidRPr="0022666F" w:rsidTr="007F0E3C">
        <w:trPr>
          <w:cantSplit/>
          <w:trHeight w:val="20"/>
        </w:trPr>
        <w:tc>
          <w:tcPr>
            <w:tcW w:w="709" w:type="dxa"/>
            <w:shd w:val="clear" w:color="auto" w:fill="DBDBDB" w:themeFill="accent3" w:themeFillTint="66"/>
            <w:textDirection w:val="btLr"/>
          </w:tcPr>
          <w:p w:rsidR="0022666F" w:rsidRPr="0022666F" w:rsidRDefault="0022666F" w:rsidP="0022666F">
            <w:pPr>
              <w:ind w:left="113" w:right="113"/>
              <w:jc w:val="center"/>
              <w:rPr>
                <w:b/>
              </w:rPr>
            </w:pPr>
          </w:p>
        </w:tc>
        <w:tc>
          <w:tcPr>
            <w:tcW w:w="15451" w:type="dxa"/>
            <w:gridSpan w:val="4"/>
            <w:shd w:val="clear" w:color="auto" w:fill="DBDBDB" w:themeFill="accent3" w:themeFillTint="66"/>
          </w:tcPr>
          <w:p w:rsidR="0022666F" w:rsidRPr="0022666F" w:rsidRDefault="00E41B4C" w:rsidP="0022666F">
            <w:pPr>
              <w:jc w:val="center"/>
            </w:pPr>
            <w:r>
              <w:rPr>
                <w:b/>
                <w:sz w:val="32"/>
              </w:rPr>
              <w:t>POWIERZCHNIA KONTENERÓW MIESZKALNYCH</w:t>
            </w:r>
          </w:p>
        </w:tc>
      </w:tr>
      <w:tr w:rsidR="0022666F" w:rsidRPr="0022666F" w:rsidTr="007F0E3C">
        <w:trPr>
          <w:cantSplit/>
          <w:trHeight w:val="20"/>
        </w:trPr>
        <w:tc>
          <w:tcPr>
            <w:tcW w:w="709" w:type="dxa"/>
            <w:vMerge w:val="restart"/>
            <w:textDirection w:val="btLr"/>
          </w:tcPr>
          <w:p w:rsidR="0022666F" w:rsidRPr="0022666F" w:rsidRDefault="0022666F" w:rsidP="0022666F">
            <w:pPr>
              <w:ind w:left="113" w:right="113"/>
              <w:jc w:val="center"/>
              <w:rPr>
                <w:b/>
                <w:lang w:val="en-US"/>
              </w:rPr>
            </w:pPr>
            <w:r w:rsidRPr="0022666F">
              <w:rPr>
                <w:b/>
                <w:lang w:val="en-US"/>
              </w:rPr>
              <w:t xml:space="preserve">NORMA </w:t>
            </w:r>
          </w:p>
        </w:tc>
        <w:tc>
          <w:tcPr>
            <w:tcW w:w="7227" w:type="dxa"/>
            <w:gridSpan w:val="2"/>
            <w:shd w:val="clear" w:color="auto" w:fill="FBE4D5" w:themeFill="accent2" w:themeFillTint="33"/>
          </w:tcPr>
          <w:p w:rsidR="0022666F" w:rsidRPr="0022666F" w:rsidRDefault="0022666F" w:rsidP="0022666F">
            <w:pPr>
              <w:tabs>
                <w:tab w:val="center" w:pos="3435"/>
                <w:tab w:val="left" w:pos="5311"/>
              </w:tabs>
            </w:pPr>
            <w:r w:rsidRPr="0022666F">
              <w:tab/>
              <w:t xml:space="preserve">US: </w:t>
            </w:r>
            <w:r w:rsidR="00E41B4C" w:rsidRPr="000E638B">
              <w:rPr>
                <w:b/>
              </w:rPr>
              <w:t xml:space="preserve"> UFC 1-201-01, Change 4</w:t>
            </w:r>
            <w:r w:rsidRPr="0022666F">
              <w:tab/>
            </w:r>
          </w:p>
        </w:tc>
        <w:tc>
          <w:tcPr>
            <w:tcW w:w="5951" w:type="dxa"/>
            <w:shd w:val="clear" w:color="auto" w:fill="DEEAF6" w:themeFill="accent1" w:themeFillTint="33"/>
          </w:tcPr>
          <w:p w:rsidR="0022666F" w:rsidRPr="0022666F" w:rsidRDefault="0022666F" w:rsidP="00E41B4C">
            <w:pPr>
              <w:tabs>
                <w:tab w:val="left" w:pos="1421"/>
                <w:tab w:val="center" w:pos="2783"/>
              </w:tabs>
            </w:pPr>
            <w:r w:rsidRPr="0022666F">
              <w:tab/>
            </w:r>
            <w:r w:rsidR="00E41B4C">
              <w:t>PL</w:t>
            </w:r>
          </w:p>
        </w:tc>
        <w:tc>
          <w:tcPr>
            <w:tcW w:w="2273" w:type="dxa"/>
            <w:vMerge w:val="restart"/>
          </w:tcPr>
          <w:p w:rsidR="0022666F" w:rsidRPr="0022666F" w:rsidRDefault="00E41B4C" w:rsidP="0022666F">
            <w:pPr>
              <w:jc w:val="center"/>
            </w:pPr>
            <w:r w:rsidRPr="00E41B4C">
              <w:t>o powierzchni nie większej niż powierzchnia kwadratu o wymiarach 24m na 24m, tj. 576m2.</w:t>
            </w:r>
          </w:p>
        </w:tc>
      </w:tr>
      <w:tr w:rsidR="00E41B4C" w:rsidRPr="0022666F" w:rsidTr="007F0E3C">
        <w:trPr>
          <w:cantSplit/>
          <w:trHeight w:val="20"/>
        </w:trPr>
        <w:tc>
          <w:tcPr>
            <w:tcW w:w="709" w:type="dxa"/>
            <w:vMerge/>
            <w:textDirection w:val="btLr"/>
          </w:tcPr>
          <w:p w:rsidR="00E41B4C" w:rsidRPr="0022666F" w:rsidRDefault="00E41B4C" w:rsidP="0022666F">
            <w:pPr>
              <w:ind w:left="113" w:right="113"/>
              <w:jc w:val="center"/>
              <w:rPr>
                <w:b/>
                <w:lang w:val="en-US"/>
              </w:rPr>
            </w:pPr>
            <w:bookmarkStart w:id="0" w:name="_GoBack"/>
          </w:p>
        </w:tc>
        <w:tc>
          <w:tcPr>
            <w:tcW w:w="7227" w:type="dxa"/>
            <w:gridSpan w:val="2"/>
            <w:shd w:val="clear" w:color="auto" w:fill="auto"/>
          </w:tcPr>
          <w:p w:rsidR="00E41B4C" w:rsidRPr="0022666F" w:rsidRDefault="00E41B4C" w:rsidP="0022666F">
            <w:pPr>
              <w:tabs>
                <w:tab w:val="center" w:pos="3435"/>
                <w:tab w:val="left" w:pos="5311"/>
              </w:tabs>
            </w:pPr>
            <w:r>
              <w:t>Powierzchnia zajmowana przez zespół kontenerów mieszkalnych, zbudowanych z konstrukcji palnej (lub palnym ociepleniem), nie może przekraczać 650m2</w:t>
            </w:r>
          </w:p>
        </w:tc>
        <w:tc>
          <w:tcPr>
            <w:tcW w:w="5951" w:type="dxa"/>
            <w:shd w:val="clear" w:color="auto" w:fill="auto"/>
          </w:tcPr>
          <w:p w:rsidR="00E41B4C" w:rsidRPr="00E41B4C" w:rsidRDefault="00E41B4C" w:rsidP="00E41B4C">
            <w:r w:rsidRPr="00E41B4C">
              <w:t>Kontenery lub zespoły kontenerów mieszkalnych z palną izolacją cieplną należy ustawiać w strefach pożarowych o powierzchni nie większej niż powierzchnia kwadratu o wymiarach 24m na 24m, tj. 576m2. Pomiędzy tymi strefami należy zachować odpowiednio określone powyżej odległości 8m i 15m w zależności od ich przeznaczenia.</w:t>
            </w:r>
          </w:p>
          <w:p w:rsidR="00E41B4C" w:rsidRPr="0022666F" w:rsidRDefault="00E41B4C" w:rsidP="0022666F">
            <w:pPr>
              <w:tabs>
                <w:tab w:val="left" w:pos="1421"/>
                <w:tab w:val="center" w:pos="2783"/>
              </w:tabs>
            </w:pPr>
          </w:p>
        </w:tc>
        <w:tc>
          <w:tcPr>
            <w:tcW w:w="2273" w:type="dxa"/>
            <w:vMerge/>
          </w:tcPr>
          <w:p w:rsidR="00E41B4C" w:rsidRPr="0022666F" w:rsidRDefault="00E41B4C" w:rsidP="0022666F">
            <w:pPr>
              <w:jc w:val="center"/>
            </w:pPr>
          </w:p>
        </w:tc>
      </w:tr>
      <w:bookmarkEnd w:id="0"/>
      <w:tr w:rsidR="0022666F" w:rsidRPr="0022666F" w:rsidTr="007F0E3C">
        <w:trPr>
          <w:cantSplit/>
          <w:trHeight w:val="20"/>
        </w:trPr>
        <w:tc>
          <w:tcPr>
            <w:tcW w:w="709" w:type="dxa"/>
            <w:shd w:val="clear" w:color="auto" w:fill="DBDBDB" w:themeFill="accent3" w:themeFillTint="66"/>
            <w:textDirection w:val="btLr"/>
          </w:tcPr>
          <w:p w:rsidR="0022666F" w:rsidRPr="0022666F" w:rsidRDefault="0022666F" w:rsidP="0022666F">
            <w:pPr>
              <w:ind w:left="113" w:right="113"/>
              <w:jc w:val="center"/>
              <w:rPr>
                <w:b/>
                <w:lang w:val="en-US"/>
              </w:rPr>
            </w:pPr>
          </w:p>
        </w:tc>
        <w:tc>
          <w:tcPr>
            <w:tcW w:w="15451" w:type="dxa"/>
            <w:gridSpan w:val="4"/>
            <w:shd w:val="clear" w:color="auto" w:fill="DBDBDB" w:themeFill="accent3" w:themeFillTint="66"/>
          </w:tcPr>
          <w:p w:rsidR="0022666F" w:rsidRPr="0022666F" w:rsidRDefault="007F0E3C" w:rsidP="0022666F">
            <w:pPr>
              <w:jc w:val="center"/>
              <w:rPr>
                <w:b/>
                <w:sz w:val="20"/>
              </w:rPr>
            </w:pPr>
            <w:r>
              <w:rPr>
                <w:b/>
                <w:sz w:val="32"/>
              </w:rPr>
              <w:t>PRZEJŚCIE EWAKUACYJNE</w:t>
            </w:r>
          </w:p>
        </w:tc>
      </w:tr>
      <w:tr w:rsidR="00E41B4C" w:rsidRPr="0022666F" w:rsidTr="007F0E3C">
        <w:trPr>
          <w:cantSplit/>
          <w:trHeight w:val="20"/>
        </w:trPr>
        <w:tc>
          <w:tcPr>
            <w:tcW w:w="709" w:type="dxa"/>
            <w:vMerge w:val="restart"/>
            <w:textDirection w:val="btLr"/>
          </w:tcPr>
          <w:p w:rsidR="00E41B4C" w:rsidRPr="0022666F" w:rsidRDefault="00E41B4C" w:rsidP="0022666F">
            <w:pPr>
              <w:ind w:left="113" w:right="113"/>
              <w:jc w:val="center"/>
              <w:rPr>
                <w:b/>
                <w:lang w:val="en-US"/>
              </w:rPr>
            </w:pPr>
            <w:r w:rsidRPr="0022666F">
              <w:rPr>
                <w:b/>
                <w:lang w:val="en-US"/>
              </w:rPr>
              <w:t>NORMA</w:t>
            </w:r>
          </w:p>
        </w:tc>
        <w:tc>
          <w:tcPr>
            <w:tcW w:w="7227" w:type="dxa"/>
            <w:gridSpan w:val="2"/>
            <w:shd w:val="clear" w:color="auto" w:fill="FBE4D5" w:themeFill="accent2" w:themeFillTint="33"/>
          </w:tcPr>
          <w:p w:rsidR="00E41B4C" w:rsidRPr="0022666F" w:rsidRDefault="00E41B4C" w:rsidP="0022666F">
            <w:pPr>
              <w:tabs>
                <w:tab w:val="center" w:pos="3435"/>
                <w:tab w:val="left" w:pos="5311"/>
              </w:tabs>
            </w:pPr>
            <w:r w:rsidRPr="0022666F">
              <w:tab/>
              <w:t xml:space="preserve">US: </w:t>
            </w:r>
            <w:r w:rsidRPr="000E638B">
              <w:rPr>
                <w:b/>
              </w:rPr>
              <w:t xml:space="preserve"> UFC 1-201-01, Change 4</w:t>
            </w:r>
            <w:r w:rsidRPr="0022666F">
              <w:tab/>
            </w:r>
          </w:p>
        </w:tc>
        <w:tc>
          <w:tcPr>
            <w:tcW w:w="5951" w:type="dxa"/>
            <w:shd w:val="clear" w:color="auto" w:fill="DEEAF6" w:themeFill="accent1" w:themeFillTint="33"/>
          </w:tcPr>
          <w:p w:rsidR="00E41B4C" w:rsidRPr="0022666F" w:rsidRDefault="00E41B4C" w:rsidP="00E41B4C">
            <w:pPr>
              <w:tabs>
                <w:tab w:val="left" w:pos="1421"/>
                <w:tab w:val="center" w:pos="2783"/>
              </w:tabs>
            </w:pPr>
            <w:r w:rsidRPr="0022666F">
              <w:tab/>
            </w:r>
            <w:r>
              <w:t>PL</w:t>
            </w:r>
          </w:p>
        </w:tc>
        <w:tc>
          <w:tcPr>
            <w:tcW w:w="2273" w:type="dxa"/>
            <w:vMerge w:val="restart"/>
          </w:tcPr>
          <w:p w:rsidR="007F0E3C" w:rsidRDefault="007F0E3C" w:rsidP="0022666F">
            <w:pPr>
              <w:jc w:val="center"/>
            </w:pPr>
          </w:p>
          <w:p w:rsidR="007F0E3C" w:rsidRDefault="007F0E3C" w:rsidP="0022666F">
            <w:pPr>
              <w:jc w:val="center"/>
            </w:pPr>
          </w:p>
          <w:p w:rsidR="007F0E3C" w:rsidRDefault="007F0E3C" w:rsidP="0022666F">
            <w:pPr>
              <w:jc w:val="center"/>
            </w:pPr>
          </w:p>
          <w:p w:rsidR="007F0E3C" w:rsidRDefault="007F0E3C" w:rsidP="0022666F">
            <w:pPr>
              <w:jc w:val="center"/>
            </w:pPr>
          </w:p>
          <w:p w:rsidR="00E41B4C" w:rsidRPr="0022666F" w:rsidRDefault="007F0E3C" w:rsidP="0022666F">
            <w:pPr>
              <w:jc w:val="center"/>
            </w:pPr>
            <w:r w:rsidRPr="00E41B4C">
              <w:t>min. 107cm</w:t>
            </w:r>
          </w:p>
        </w:tc>
      </w:tr>
      <w:tr w:rsidR="00E41B4C" w:rsidRPr="0022666F" w:rsidTr="007F0E3C">
        <w:trPr>
          <w:cantSplit/>
          <w:trHeight w:val="2122"/>
        </w:trPr>
        <w:tc>
          <w:tcPr>
            <w:tcW w:w="709" w:type="dxa"/>
            <w:vMerge/>
            <w:shd w:val="clear" w:color="auto" w:fill="auto"/>
            <w:textDirection w:val="btLr"/>
          </w:tcPr>
          <w:p w:rsidR="00E41B4C" w:rsidRPr="0022666F" w:rsidRDefault="00E41B4C" w:rsidP="0022666F">
            <w:pPr>
              <w:ind w:left="113" w:right="113"/>
              <w:jc w:val="center"/>
              <w:rPr>
                <w:b/>
                <w:lang w:val="en-US"/>
              </w:rPr>
            </w:pPr>
          </w:p>
        </w:tc>
        <w:tc>
          <w:tcPr>
            <w:tcW w:w="7227" w:type="dxa"/>
            <w:gridSpan w:val="2"/>
            <w:shd w:val="clear" w:color="auto" w:fill="auto"/>
          </w:tcPr>
          <w:p w:rsidR="00E41B4C" w:rsidRPr="00E41B4C" w:rsidRDefault="00E41B4C" w:rsidP="00E41B4C">
            <w:r w:rsidRPr="00E41B4C">
              <w:t>Szerokość przejścia służącego do ewakuacji między rzędami kontenerów musi być równa min. 107cm (42 cale), mierzona między otwartymi na 90</w:t>
            </w:r>
            <w:r w:rsidRPr="00E41B4C">
              <w:rPr>
                <w:rFonts w:cstheme="minorHAnsi"/>
              </w:rPr>
              <w:t>⁰</w:t>
            </w:r>
            <w:r w:rsidRPr="00E41B4C">
              <w:t xml:space="preserve"> skrzydłami drzwi. Wolna przestrzeń nie może być wykorzystywana do składowania i powinna być oznaczona kolorem żółtym.</w:t>
            </w:r>
          </w:p>
          <w:p w:rsidR="00E41B4C" w:rsidRPr="0022666F" w:rsidRDefault="00E41B4C" w:rsidP="0022666F">
            <w:pPr>
              <w:tabs>
                <w:tab w:val="center" w:pos="3435"/>
                <w:tab w:val="left" w:pos="5311"/>
              </w:tabs>
            </w:pPr>
          </w:p>
        </w:tc>
        <w:tc>
          <w:tcPr>
            <w:tcW w:w="5951" w:type="dxa"/>
            <w:shd w:val="clear" w:color="auto" w:fill="auto"/>
          </w:tcPr>
          <w:p w:rsidR="00E41B4C" w:rsidRPr="0022666F" w:rsidRDefault="00E41B4C" w:rsidP="00320A48"/>
        </w:tc>
        <w:tc>
          <w:tcPr>
            <w:tcW w:w="2273" w:type="dxa"/>
            <w:vMerge/>
            <w:shd w:val="clear" w:color="auto" w:fill="auto"/>
          </w:tcPr>
          <w:p w:rsidR="00E41B4C" w:rsidRPr="0022666F" w:rsidRDefault="00E41B4C" w:rsidP="0022666F">
            <w:pPr>
              <w:jc w:val="center"/>
            </w:pPr>
          </w:p>
        </w:tc>
      </w:tr>
      <w:tr w:rsidR="00320A48" w:rsidRPr="0022666F" w:rsidTr="007F0E3C">
        <w:trPr>
          <w:cantSplit/>
          <w:trHeight w:val="694"/>
        </w:trPr>
        <w:tc>
          <w:tcPr>
            <w:tcW w:w="709" w:type="dxa"/>
            <w:shd w:val="clear" w:color="auto" w:fill="E7E6E6" w:themeFill="background2"/>
            <w:textDirection w:val="btLr"/>
          </w:tcPr>
          <w:p w:rsidR="00320A48" w:rsidRPr="0022666F" w:rsidRDefault="00320A48" w:rsidP="00320A48">
            <w:pPr>
              <w:ind w:left="113" w:right="113"/>
              <w:jc w:val="center"/>
              <w:rPr>
                <w:b/>
                <w:lang w:val="en-US"/>
              </w:rPr>
            </w:pPr>
          </w:p>
        </w:tc>
        <w:tc>
          <w:tcPr>
            <w:tcW w:w="15451" w:type="dxa"/>
            <w:gridSpan w:val="4"/>
            <w:shd w:val="clear" w:color="auto" w:fill="E7E6E6" w:themeFill="background2"/>
          </w:tcPr>
          <w:p w:rsidR="00320A48" w:rsidRPr="00320A48" w:rsidRDefault="00320A48" w:rsidP="00320A48">
            <w:pPr>
              <w:jc w:val="center"/>
            </w:pPr>
            <w:r w:rsidRPr="00320A48">
              <w:rPr>
                <w:b/>
                <w:sz w:val="32"/>
              </w:rPr>
              <w:t>DROGA POŻAROWA</w:t>
            </w:r>
          </w:p>
        </w:tc>
      </w:tr>
      <w:tr w:rsidR="00320A48" w:rsidRPr="0022666F" w:rsidTr="007F0E3C">
        <w:trPr>
          <w:cantSplit/>
          <w:trHeight w:val="278"/>
        </w:trPr>
        <w:tc>
          <w:tcPr>
            <w:tcW w:w="709" w:type="dxa"/>
            <w:shd w:val="clear" w:color="auto" w:fill="auto"/>
            <w:textDirection w:val="btLr"/>
          </w:tcPr>
          <w:p w:rsidR="00320A48" w:rsidRPr="0022666F" w:rsidRDefault="00320A48" w:rsidP="00320A48">
            <w:pPr>
              <w:ind w:left="113" w:right="113"/>
              <w:jc w:val="center"/>
              <w:rPr>
                <w:b/>
                <w:lang w:val="en-US"/>
              </w:rPr>
            </w:pPr>
          </w:p>
        </w:tc>
        <w:tc>
          <w:tcPr>
            <w:tcW w:w="7227" w:type="dxa"/>
            <w:gridSpan w:val="2"/>
            <w:shd w:val="clear" w:color="auto" w:fill="FBE4D5" w:themeFill="accent2" w:themeFillTint="33"/>
          </w:tcPr>
          <w:p w:rsidR="00320A48" w:rsidRPr="00E41B4C" w:rsidRDefault="00320A48" w:rsidP="00320A48">
            <w:r w:rsidRPr="0022666F">
              <w:t xml:space="preserve">US: </w:t>
            </w:r>
            <w:r w:rsidRPr="000E638B">
              <w:rPr>
                <w:b/>
              </w:rPr>
              <w:t xml:space="preserve"> UFC 1-201-01, Change 4</w:t>
            </w:r>
          </w:p>
        </w:tc>
        <w:tc>
          <w:tcPr>
            <w:tcW w:w="5951" w:type="dxa"/>
            <w:shd w:val="clear" w:color="auto" w:fill="DEEAF6" w:themeFill="accent1" w:themeFillTint="33"/>
          </w:tcPr>
          <w:p w:rsidR="00320A48" w:rsidRPr="00320A48" w:rsidRDefault="00FF7E21" w:rsidP="00FF7E21">
            <w:pPr>
              <w:tabs>
                <w:tab w:val="left" w:pos="1421"/>
                <w:tab w:val="center" w:pos="2783"/>
              </w:tabs>
              <w:jc w:val="center"/>
            </w:pPr>
            <w:r>
              <w:t>PL</w:t>
            </w:r>
          </w:p>
        </w:tc>
        <w:tc>
          <w:tcPr>
            <w:tcW w:w="2273" w:type="dxa"/>
            <w:vMerge w:val="restart"/>
            <w:shd w:val="clear" w:color="auto" w:fill="auto"/>
          </w:tcPr>
          <w:p w:rsidR="007F0E3C" w:rsidRDefault="007F0E3C" w:rsidP="00320A48">
            <w:pPr>
              <w:jc w:val="center"/>
            </w:pPr>
          </w:p>
          <w:p w:rsidR="007F0E3C" w:rsidRDefault="007F0E3C" w:rsidP="00320A48">
            <w:pPr>
              <w:jc w:val="center"/>
            </w:pPr>
          </w:p>
          <w:p w:rsidR="00320A48" w:rsidRPr="0022666F" w:rsidRDefault="007F0E3C" w:rsidP="00320A48">
            <w:pPr>
              <w:jc w:val="center"/>
            </w:pPr>
            <w:r w:rsidRPr="00320A48">
              <w:t>szerokość nie może być mniejsza niż 3m</w:t>
            </w:r>
            <w:r>
              <w:t>, wysokość: 4,2m</w:t>
            </w:r>
          </w:p>
        </w:tc>
      </w:tr>
      <w:tr w:rsidR="00320A48" w:rsidRPr="0022666F" w:rsidTr="007F0E3C">
        <w:trPr>
          <w:cantSplit/>
          <w:trHeight w:val="420"/>
        </w:trPr>
        <w:tc>
          <w:tcPr>
            <w:tcW w:w="709" w:type="dxa"/>
            <w:shd w:val="clear" w:color="auto" w:fill="auto"/>
            <w:textDirection w:val="btLr"/>
          </w:tcPr>
          <w:p w:rsidR="00320A48" w:rsidRPr="0022666F" w:rsidRDefault="00320A48" w:rsidP="00320A48">
            <w:pPr>
              <w:ind w:left="113" w:right="113"/>
              <w:jc w:val="center"/>
              <w:rPr>
                <w:b/>
                <w:lang w:val="en-US"/>
              </w:rPr>
            </w:pPr>
          </w:p>
        </w:tc>
        <w:tc>
          <w:tcPr>
            <w:tcW w:w="7227" w:type="dxa"/>
            <w:gridSpan w:val="2"/>
            <w:shd w:val="clear" w:color="auto" w:fill="auto"/>
          </w:tcPr>
          <w:p w:rsidR="00320A48" w:rsidRPr="00E41B4C" w:rsidRDefault="00320A48" w:rsidP="00320A48"/>
        </w:tc>
        <w:tc>
          <w:tcPr>
            <w:tcW w:w="5951" w:type="dxa"/>
            <w:shd w:val="clear" w:color="auto" w:fill="auto"/>
          </w:tcPr>
          <w:p w:rsidR="00320A48" w:rsidRPr="00320A48" w:rsidRDefault="00320A48" w:rsidP="00320A48">
            <w:r w:rsidRPr="00320A48">
              <w:t>Droga pożarowa powinna umożliwić przejazd pojazdów o nacisku osi na nawierzchnię co najmniej 50kN, a jej minimalna szerokość nie może być mniejsza niż 3m. Wysokość przejazdu, którym prowadzi droga pożarowa powinna wynosić co najmniej 4,2m. Należy zapewnić połączenie każdego z wyjść z zespołu kontenerów mieszkalnych z drogą pożarową utwardzonym dojściem o szerokości min. 1,5m i długości nie większej niż 30m.</w:t>
            </w:r>
          </w:p>
          <w:p w:rsidR="00320A48" w:rsidRPr="00320A48" w:rsidRDefault="00320A48" w:rsidP="00320A48"/>
        </w:tc>
        <w:tc>
          <w:tcPr>
            <w:tcW w:w="2273" w:type="dxa"/>
            <w:vMerge/>
            <w:shd w:val="clear" w:color="auto" w:fill="auto"/>
          </w:tcPr>
          <w:p w:rsidR="00320A48" w:rsidRPr="0022666F" w:rsidRDefault="00320A48" w:rsidP="00320A48">
            <w:pPr>
              <w:jc w:val="center"/>
            </w:pPr>
          </w:p>
        </w:tc>
      </w:tr>
      <w:tr w:rsidR="007F0E3C" w:rsidRPr="0022666F" w:rsidTr="007F0E3C">
        <w:trPr>
          <w:cantSplit/>
          <w:trHeight w:val="420"/>
        </w:trPr>
        <w:tc>
          <w:tcPr>
            <w:tcW w:w="709" w:type="dxa"/>
            <w:shd w:val="clear" w:color="auto" w:fill="auto"/>
            <w:textDirection w:val="btLr"/>
          </w:tcPr>
          <w:p w:rsidR="007F0E3C" w:rsidRPr="0022666F" w:rsidRDefault="007F0E3C" w:rsidP="00320A48">
            <w:pPr>
              <w:ind w:left="113" w:right="113"/>
              <w:jc w:val="center"/>
              <w:rPr>
                <w:b/>
                <w:lang w:val="en-US"/>
              </w:rPr>
            </w:pPr>
          </w:p>
        </w:tc>
        <w:tc>
          <w:tcPr>
            <w:tcW w:w="15451" w:type="dxa"/>
            <w:gridSpan w:val="4"/>
            <w:shd w:val="clear" w:color="auto" w:fill="E7E6E6" w:themeFill="background2"/>
          </w:tcPr>
          <w:p w:rsidR="007F0E3C" w:rsidRPr="0022666F" w:rsidRDefault="00FF7E21" w:rsidP="00320A48">
            <w:pPr>
              <w:jc w:val="center"/>
            </w:pPr>
            <w:r w:rsidRPr="00FF7E21">
              <w:rPr>
                <w:b/>
                <w:sz w:val="32"/>
              </w:rPr>
              <w:t>POZIOMY KONTENERÓW</w:t>
            </w:r>
          </w:p>
        </w:tc>
      </w:tr>
      <w:tr w:rsidR="007F0E3C" w:rsidRPr="0022666F" w:rsidTr="007F0E3C">
        <w:trPr>
          <w:cantSplit/>
          <w:trHeight w:val="190"/>
        </w:trPr>
        <w:tc>
          <w:tcPr>
            <w:tcW w:w="709" w:type="dxa"/>
            <w:vMerge w:val="restart"/>
            <w:shd w:val="clear" w:color="auto" w:fill="auto"/>
            <w:textDirection w:val="btLr"/>
          </w:tcPr>
          <w:p w:rsidR="007F0E3C" w:rsidRPr="0022666F" w:rsidRDefault="007F0E3C" w:rsidP="007F0E3C">
            <w:pPr>
              <w:ind w:left="113" w:right="113"/>
              <w:jc w:val="center"/>
              <w:rPr>
                <w:b/>
                <w:lang w:val="en-US"/>
              </w:rPr>
            </w:pPr>
          </w:p>
        </w:tc>
        <w:tc>
          <w:tcPr>
            <w:tcW w:w="7221" w:type="dxa"/>
            <w:shd w:val="clear" w:color="auto" w:fill="FBE4D5" w:themeFill="accent2" w:themeFillTint="33"/>
          </w:tcPr>
          <w:p w:rsidR="007F0E3C" w:rsidRPr="00E41B4C" w:rsidRDefault="007F0E3C" w:rsidP="007F0E3C">
            <w:r w:rsidRPr="0022666F">
              <w:t xml:space="preserve">US: </w:t>
            </w:r>
            <w:r w:rsidRPr="000E638B">
              <w:rPr>
                <w:b/>
              </w:rPr>
              <w:t xml:space="preserve"> UFC 1-201-01, Change 4</w:t>
            </w:r>
          </w:p>
        </w:tc>
        <w:tc>
          <w:tcPr>
            <w:tcW w:w="5957" w:type="dxa"/>
            <w:gridSpan w:val="2"/>
            <w:shd w:val="clear" w:color="auto" w:fill="DEEAF6" w:themeFill="accent1" w:themeFillTint="33"/>
          </w:tcPr>
          <w:p w:rsidR="007F0E3C" w:rsidRPr="0022666F" w:rsidRDefault="00FF7E21" w:rsidP="007F0E3C">
            <w:pPr>
              <w:jc w:val="center"/>
            </w:pPr>
            <w:r>
              <w:t>PL</w:t>
            </w:r>
          </w:p>
        </w:tc>
        <w:tc>
          <w:tcPr>
            <w:tcW w:w="2273" w:type="dxa"/>
            <w:vMerge w:val="restart"/>
            <w:shd w:val="clear" w:color="auto" w:fill="auto"/>
          </w:tcPr>
          <w:p w:rsidR="007F0E3C" w:rsidRPr="0022666F" w:rsidRDefault="007F0E3C" w:rsidP="007F0E3C">
            <w:pPr>
              <w:jc w:val="center"/>
            </w:pPr>
            <w:r>
              <w:t>Max. 2 poziomy kontenerów</w:t>
            </w:r>
          </w:p>
        </w:tc>
      </w:tr>
      <w:tr w:rsidR="00164ACC" w:rsidRPr="0022666F" w:rsidTr="007F0E3C">
        <w:trPr>
          <w:cantSplit/>
          <w:trHeight w:val="190"/>
        </w:trPr>
        <w:tc>
          <w:tcPr>
            <w:tcW w:w="709" w:type="dxa"/>
            <w:vMerge/>
            <w:shd w:val="clear" w:color="auto" w:fill="auto"/>
            <w:textDirection w:val="btLr"/>
          </w:tcPr>
          <w:p w:rsidR="00164ACC" w:rsidRPr="0022666F" w:rsidRDefault="00164ACC" w:rsidP="00164ACC">
            <w:pPr>
              <w:ind w:left="113" w:right="113"/>
              <w:jc w:val="center"/>
              <w:rPr>
                <w:b/>
                <w:lang w:val="en-US"/>
              </w:rPr>
            </w:pPr>
          </w:p>
        </w:tc>
        <w:tc>
          <w:tcPr>
            <w:tcW w:w="7221" w:type="dxa"/>
            <w:shd w:val="clear" w:color="auto" w:fill="auto"/>
          </w:tcPr>
          <w:p w:rsidR="00164ACC" w:rsidRDefault="00164ACC" w:rsidP="00164ACC">
            <w:r>
              <w:t>Dopuszcza się ustawienie maksymalnie 2-óch poziomów kontenerów.</w:t>
            </w:r>
          </w:p>
          <w:p w:rsidR="00164ACC" w:rsidRPr="0022666F" w:rsidRDefault="00164ACC" w:rsidP="00164ACC">
            <w:pPr>
              <w:jc w:val="center"/>
            </w:pPr>
          </w:p>
        </w:tc>
        <w:tc>
          <w:tcPr>
            <w:tcW w:w="5957" w:type="dxa"/>
            <w:gridSpan w:val="2"/>
            <w:shd w:val="clear" w:color="auto" w:fill="auto"/>
          </w:tcPr>
          <w:p w:rsidR="00164ACC" w:rsidRPr="0022666F" w:rsidRDefault="00164ACC" w:rsidP="00164ACC">
            <w:r>
              <w:t>Dopuszcza się ustawienie maksymalnie 2-óch poziomów kontenerów.</w:t>
            </w:r>
          </w:p>
        </w:tc>
        <w:tc>
          <w:tcPr>
            <w:tcW w:w="2273" w:type="dxa"/>
            <w:vMerge/>
            <w:shd w:val="clear" w:color="auto" w:fill="auto"/>
          </w:tcPr>
          <w:p w:rsidR="00164ACC" w:rsidRPr="0022666F" w:rsidRDefault="00164ACC" w:rsidP="00164ACC">
            <w:pPr>
              <w:jc w:val="center"/>
            </w:pPr>
          </w:p>
        </w:tc>
      </w:tr>
      <w:tr w:rsidR="00164ACC" w:rsidRPr="0022666F" w:rsidTr="00FF7E21">
        <w:trPr>
          <w:cantSplit/>
          <w:trHeight w:val="402"/>
        </w:trPr>
        <w:tc>
          <w:tcPr>
            <w:tcW w:w="709" w:type="dxa"/>
            <w:shd w:val="clear" w:color="auto" w:fill="auto"/>
            <w:textDirection w:val="btLr"/>
          </w:tcPr>
          <w:p w:rsidR="00164ACC" w:rsidRPr="0022666F" w:rsidRDefault="00164ACC" w:rsidP="00164ACC">
            <w:pPr>
              <w:ind w:left="113" w:right="113"/>
              <w:jc w:val="center"/>
              <w:rPr>
                <w:b/>
                <w:lang w:val="en-US"/>
              </w:rPr>
            </w:pPr>
          </w:p>
        </w:tc>
        <w:tc>
          <w:tcPr>
            <w:tcW w:w="15451" w:type="dxa"/>
            <w:gridSpan w:val="4"/>
            <w:shd w:val="clear" w:color="auto" w:fill="E7E6E6" w:themeFill="background2"/>
          </w:tcPr>
          <w:p w:rsidR="00164ACC" w:rsidRPr="0022666F" w:rsidRDefault="00164ACC" w:rsidP="00164ACC">
            <w:pPr>
              <w:jc w:val="center"/>
            </w:pPr>
            <w:r w:rsidRPr="00FF7E21">
              <w:rPr>
                <w:b/>
                <w:sz w:val="32"/>
              </w:rPr>
              <w:t>KONTENERY TECHNICZNE</w:t>
            </w:r>
          </w:p>
        </w:tc>
      </w:tr>
      <w:tr w:rsidR="00164ACC" w:rsidRPr="0022666F" w:rsidTr="00FF7E21">
        <w:trPr>
          <w:cantSplit/>
          <w:trHeight w:val="190"/>
        </w:trPr>
        <w:tc>
          <w:tcPr>
            <w:tcW w:w="709" w:type="dxa"/>
            <w:shd w:val="clear" w:color="auto" w:fill="auto"/>
            <w:textDirection w:val="btLr"/>
          </w:tcPr>
          <w:p w:rsidR="00164ACC" w:rsidRPr="0022666F" w:rsidRDefault="00164ACC" w:rsidP="00164ACC">
            <w:pPr>
              <w:ind w:left="113" w:right="113"/>
              <w:jc w:val="center"/>
              <w:rPr>
                <w:b/>
                <w:lang w:val="en-US"/>
              </w:rPr>
            </w:pPr>
          </w:p>
        </w:tc>
        <w:tc>
          <w:tcPr>
            <w:tcW w:w="7221" w:type="dxa"/>
            <w:shd w:val="clear" w:color="auto" w:fill="FBE4D5" w:themeFill="accent2" w:themeFillTint="33"/>
          </w:tcPr>
          <w:p w:rsidR="00164ACC" w:rsidRPr="00E41B4C" w:rsidRDefault="00164ACC" w:rsidP="00164ACC">
            <w:r w:rsidRPr="0022666F">
              <w:t xml:space="preserve">US: </w:t>
            </w:r>
            <w:r w:rsidRPr="000E638B">
              <w:rPr>
                <w:b/>
              </w:rPr>
              <w:t xml:space="preserve"> UFC 1-201-01, Change 4</w:t>
            </w:r>
          </w:p>
        </w:tc>
        <w:tc>
          <w:tcPr>
            <w:tcW w:w="5957" w:type="dxa"/>
            <w:gridSpan w:val="2"/>
            <w:shd w:val="clear" w:color="auto" w:fill="DEEAF6" w:themeFill="accent1" w:themeFillTint="33"/>
          </w:tcPr>
          <w:p w:rsidR="00164ACC" w:rsidRPr="0022666F" w:rsidRDefault="00164ACC" w:rsidP="00164ACC">
            <w:pPr>
              <w:jc w:val="center"/>
            </w:pPr>
            <w:r>
              <w:t>PL</w:t>
            </w:r>
          </w:p>
        </w:tc>
        <w:tc>
          <w:tcPr>
            <w:tcW w:w="2273" w:type="dxa"/>
            <w:vMerge w:val="restart"/>
            <w:shd w:val="clear" w:color="auto" w:fill="auto"/>
          </w:tcPr>
          <w:p w:rsidR="00164ACC" w:rsidRPr="0022666F" w:rsidRDefault="00164ACC" w:rsidP="00164ACC">
            <w:pPr>
              <w:jc w:val="center"/>
            </w:pPr>
            <w:r>
              <w:t>należy ustawiać pojedynczo lub w zespołach tworząc odrębne strefy pożarowe w sposób zapewniający zachowanie odległości od nich co najmniej 15m</w:t>
            </w:r>
          </w:p>
        </w:tc>
      </w:tr>
      <w:tr w:rsidR="00164ACC" w:rsidRPr="0022666F" w:rsidTr="007F0E3C">
        <w:trPr>
          <w:cantSplit/>
          <w:trHeight w:val="190"/>
        </w:trPr>
        <w:tc>
          <w:tcPr>
            <w:tcW w:w="709" w:type="dxa"/>
            <w:shd w:val="clear" w:color="auto" w:fill="auto"/>
            <w:textDirection w:val="btLr"/>
          </w:tcPr>
          <w:p w:rsidR="00164ACC" w:rsidRPr="0022666F" w:rsidRDefault="00164ACC" w:rsidP="00164ACC">
            <w:pPr>
              <w:ind w:left="113" w:right="113"/>
              <w:jc w:val="center"/>
              <w:rPr>
                <w:b/>
                <w:lang w:val="en-US"/>
              </w:rPr>
            </w:pPr>
          </w:p>
        </w:tc>
        <w:tc>
          <w:tcPr>
            <w:tcW w:w="7221" w:type="dxa"/>
            <w:shd w:val="clear" w:color="auto" w:fill="auto"/>
          </w:tcPr>
          <w:p w:rsidR="00164ACC" w:rsidRDefault="00164ACC" w:rsidP="00164ACC"/>
        </w:tc>
        <w:tc>
          <w:tcPr>
            <w:tcW w:w="5957" w:type="dxa"/>
            <w:gridSpan w:val="2"/>
            <w:shd w:val="clear" w:color="auto" w:fill="auto"/>
          </w:tcPr>
          <w:p w:rsidR="00164ACC" w:rsidRDefault="00164ACC" w:rsidP="00164ACC">
            <w:r>
              <w:t xml:space="preserve">Kontenery techniczne, w tym agregaty prądotwórcze lub kontenery magazynowe należy ustawiać pojedynczo lub w zespołach tworząc odrębne strefy pożarowe w sposób zapewniający zachowanie odległości od nich co najmniej 15m. Przestrzeń 15m nie może być wykorzystywana do składowania jakichkolwiek materiałów lub sprzętu. Ponadto przedmiotową strefę należy wyposażyć w gaśnicę proszkową o zawartości 6kg proszku gaśniczego do gaszenia pożarów grup ABC. </w:t>
            </w:r>
          </w:p>
          <w:p w:rsidR="00164ACC" w:rsidRPr="0022666F" w:rsidRDefault="00164ACC" w:rsidP="00164ACC">
            <w:pPr>
              <w:jc w:val="center"/>
            </w:pPr>
          </w:p>
        </w:tc>
        <w:tc>
          <w:tcPr>
            <w:tcW w:w="2273" w:type="dxa"/>
            <w:vMerge/>
            <w:shd w:val="clear" w:color="auto" w:fill="auto"/>
          </w:tcPr>
          <w:p w:rsidR="00164ACC" w:rsidRPr="0022666F" w:rsidRDefault="00164ACC" w:rsidP="00164ACC">
            <w:pPr>
              <w:jc w:val="center"/>
            </w:pPr>
          </w:p>
        </w:tc>
      </w:tr>
      <w:tr w:rsidR="00757CE3" w:rsidRPr="0022666F" w:rsidTr="00757CE3">
        <w:trPr>
          <w:cantSplit/>
          <w:trHeight w:val="190"/>
        </w:trPr>
        <w:tc>
          <w:tcPr>
            <w:tcW w:w="709" w:type="dxa"/>
            <w:shd w:val="clear" w:color="auto" w:fill="auto"/>
            <w:textDirection w:val="btLr"/>
          </w:tcPr>
          <w:p w:rsidR="00757CE3" w:rsidRPr="0022666F" w:rsidRDefault="00757CE3" w:rsidP="00164ACC">
            <w:pPr>
              <w:ind w:left="113" w:right="113"/>
              <w:jc w:val="center"/>
              <w:rPr>
                <w:b/>
                <w:lang w:val="en-US"/>
              </w:rPr>
            </w:pPr>
          </w:p>
        </w:tc>
        <w:tc>
          <w:tcPr>
            <w:tcW w:w="15451" w:type="dxa"/>
            <w:gridSpan w:val="4"/>
            <w:shd w:val="clear" w:color="auto" w:fill="E7E6E6" w:themeFill="background2"/>
          </w:tcPr>
          <w:p w:rsidR="00757CE3" w:rsidRPr="0022666F" w:rsidRDefault="00757CE3" w:rsidP="00164ACC">
            <w:pPr>
              <w:jc w:val="center"/>
            </w:pPr>
            <w:r w:rsidRPr="00757CE3">
              <w:rPr>
                <w:b/>
                <w:sz w:val="32"/>
              </w:rPr>
              <w:t>WYMAGANIA DOTYCZĄCE SCHODÓW</w:t>
            </w:r>
          </w:p>
        </w:tc>
      </w:tr>
      <w:tr w:rsidR="00757CE3" w:rsidRPr="0022666F" w:rsidTr="00757CE3">
        <w:trPr>
          <w:cantSplit/>
          <w:trHeight w:val="190"/>
        </w:trPr>
        <w:tc>
          <w:tcPr>
            <w:tcW w:w="709" w:type="dxa"/>
            <w:shd w:val="clear" w:color="auto" w:fill="auto"/>
            <w:textDirection w:val="btLr"/>
          </w:tcPr>
          <w:p w:rsidR="00757CE3" w:rsidRPr="0022666F" w:rsidRDefault="00757CE3" w:rsidP="00164ACC">
            <w:pPr>
              <w:ind w:left="113" w:right="113"/>
              <w:jc w:val="center"/>
              <w:rPr>
                <w:b/>
                <w:lang w:val="en-US"/>
              </w:rPr>
            </w:pPr>
          </w:p>
        </w:tc>
        <w:tc>
          <w:tcPr>
            <w:tcW w:w="7221" w:type="dxa"/>
            <w:shd w:val="clear" w:color="auto" w:fill="FBE4D5" w:themeFill="accent2" w:themeFillTint="33"/>
          </w:tcPr>
          <w:p w:rsidR="00757CE3" w:rsidRDefault="00757CE3" w:rsidP="00164ACC">
            <w:r w:rsidRPr="0022666F">
              <w:t xml:space="preserve">US: </w:t>
            </w:r>
            <w:r w:rsidRPr="000E638B">
              <w:rPr>
                <w:b/>
              </w:rPr>
              <w:t xml:space="preserve"> UFC 1-201-01, Change 4</w:t>
            </w:r>
          </w:p>
        </w:tc>
        <w:tc>
          <w:tcPr>
            <w:tcW w:w="5957" w:type="dxa"/>
            <w:gridSpan w:val="2"/>
            <w:shd w:val="clear" w:color="auto" w:fill="DEEAF6" w:themeFill="accent1" w:themeFillTint="33"/>
          </w:tcPr>
          <w:p w:rsidR="00757CE3" w:rsidRDefault="00757CE3" w:rsidP="00757CE3">
            <w:pPr>
              <w:jc w:val="center"/>
            </w:pPr>
            <w:r>
              <w:t>PL</w:t>
            </w:r>
          </w:p>
        </w:tc>
        <w:tc>
          <w:tcPr>
            <w:tcW w:w="2273" w:type="dxa"/>
            <w:vMerge w:val="restart"/>
            <w:shd w:val="clear" w:color="auto" w:fill="auto"/>
          </w:tcPr>
          <w:p w:rsidR="00757CE3" w:rsidRDefault="00757CE3" w:rsidP="00164ACC">
            <w:pPr>
              <w:jc w:val="center"/>
            </w:pPr>
          </w:p>
          <w:p w:rsidR="00757CE3" w:rsidRDefault="00757CE3" w:rsidP="00164ACC">
            <w:pPr>
              <w:jc w:val="center"/>
            </w:pPr>
          </w:p>
          <w:p w:rsidR="00757CE3" w:rsidRDefault="00757CE3" w:rsidP="00164ACC">
            <w:pPr>
              <w:jc w:val="center"/>
            </w:pPr>
          </w:p>
          <w:p w:rsidR="00757CE3" w:rsidRPr="0022666F" w:rsidRDefault="00757CE3" w:rsidP="00164ACC">
            <w:pPr>
              <w:jc w:val="center"/>
            </w:pPr>
            <w:r>
              <w:t>PL norma</w:t>
            </w:r>
          </w:p>
        </w:tc>
      </w:tr>
      <w:tr w:rsidR="00757CE3" w:rsidRPr="0022666F" w:rsidTr="007F0E3C">
        <w:trPr>
          <w:cantSplit/>
          <w:trHeight w:val="190"/>
        </w:trPr>
        <w:tc>
          <w:tcPr>
            <w:tcW w:w="709" w:type="dxa"/>
            <w:shd w:val="clear" w:color="auto" w:fill="auto"/>
            <w:textDirection w:val="btLr"/>
          </w:tcPr>
          <w:p w:rsidR="00757CE3" w:rsidRPr="0022666F" w:rsidRDefault="00757CE3" w:rsidP="00164ACC">
            <w:pPr>
              <w:ind w:left="113" w:right="113"/>
              <w:jc w:val="center"/>
              <w:rPr>
                <w:b/>
                <w:lang w:val="en-US"/>
              </w:rPr>
            </w:pPr>
          </w:p>
        </w:tc>
        <w:tc>
          <w:tcPr>
            <w:tcW w:w="7221" w:type="dxa"/>
            <w:shd w:val="clear" w:color="auto" w:fill="auto"/>
          </w:tcPr>
          <w:p w:rsidR="00757CE3" w:rsidRDefault="00757CE3" w:rsidP="00164ACC">
            <w:r>
              <w:t>Minimalna szerokość stopnia – 28cm (11cali)</w:t>
            </w:r>
          </w:p>
          <w:p w:rsidR="00757CE3" w:rsidRDefault="00757CE3" w:rsidP="00164ACC">
            <w:r>
              <w:t>Minimalna wysokość stopnia – 10cm (4cale)</w:t>
            </w:r>
          </w:p>
          <w:p w:rsidR="00757CE3" w:rsidRDefault="00757CE3" w:rsidP="00164ACC">
            <w:r>
              <w:t>Maksymalna wysokość stopnia – 18cm (7cali)</w:t>
            </w:r>
          </w:p>
        </w:tc>
        <w:tc>
          <w:tcPr>
            <w:tcW w:w="5957" w:type="dxa"/>
            <w:gridSpan w:val="2"/>
            <w:shd w:val="clear" w:color="auto" w:fill="auto"/>
          </w:tcPr>
          <w:p w:rsidR="00757CE3" w:rsidRDefault="00757CE3" w:rsidP="00164ACC">
            <w:r>
              <w:t>Minimalna szerokość stopnia – 35cm</w:t>
            </w:r>
          </w:p>
          <w:p w:rsidR="00757CE3" w:rsidRDefault="00757CE3" w:rsidP="00164ACC">
            <w:r>
              <w:t>Maksymalna wysokość stopnia – 17,5cm</w:t>
            </w:r>
          </w:p>
          <w:p w:rsidR="00757CE3" w:rsidRDefault="00757CE3" w:rsidP="00164ACC">
            <w:r>
              <w:t>Maksymalna liczba schodów w jednym biegu schodów zewnętrznych – 10</w:t>
            </w:r>
          </w:p>
          <w:p w:rsidR="00757CE3" w:rsidRDefault="00757CE3" w:rsidP="00164ACC">
            <w:r>
              <w:t>Minimalna szerokość biegu schodów – 120cm</w:t>
            </w:r>
          </w:p>
          <w:p w:rsidR="00757CE3" w:rsidRDefault="00757CE3" w:rsidP="00164ACC">
            <w:r>
              <w:t xml:space="preserve">Minimalna szerokość spoczników schodów – 150cm </w:t>
            </w:r>
          </w:p>
        </w:tc>
        <w:tc>
          <w:tcPr>
            <w:tcW w:w="2273" w:type="dxa"/>
            <w:vMerge/>
            <w:shd w:val="clear" w:color="auto" w:fill="auto"/>
          </w:tcPr>
          <w:p w:rsidR="00757CE3" w:rsidRPr="0022666F" w:rsidRDefault="00757CE3" w:rsidP="00164ACC">
            <w:pPr>
              <w:jc w:val="center"/>
            </w:pPr>
          </w:p>
        </w:tc>
      </w:tr>
    </w:tbl>
    <w:p w:rsidR="005D7C31" w:rsidRDefault="005A58D6"/>
    <w:sectPr w:rsidR="005D7C31" w:rsidSect="00320A48">
      <w:pgSz w:w="16838" w:h="11906" w:orient="landscape"/>
      <w:pgMar w:top="28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58D6" w:rsidRDefault="005A58D6" w:rsidP="0022666F">
      <w:pPr>
        <w:spacing w:after="0" w:line="240" w:lineRule="auto"/>
      </w:pPr>
      <w:r>
        <w:separator/>
      </w:r>
    </w:p>
  </w:endnote>
  <w:endnote w:type="continuationSeparator" w:id="0">
    <w:p w:rsidR="005A58D6" w:rsidRDefault="005A58D6" w:rsidP="002266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58D6" w:rsidRDefault="005A58D6" w:rsidP="0022666F">
      <w:pPr>
        <w:spacing w:after="0" w:line="240" w:lineRule="auto"/>
      </w:pPr>
      <w:r>
        <w:separator/>
      </w:r>
    </w:p>
  </w:footnote>
  <w:footnote w:type="continuationSeparator" w:id="0">
    <w:p w:rsidR="005A58D6" w:rsidRDefault="005A58D6" w:rsidP="0022666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666F"/>
    <w:rsid w:val="00087BE0"/>
    <w:rsid w:val="00164ACC"/>
    <w:rsid w:val="00205D1C"/>
    <w:rsid w:val="0022666F"/>
    <w:rsid w:val="00320A48"/>
    <w:rsid w:val="00484761"/>
    <w:rsid w:val="004D40C8"/>
    <w:rsid w:val="005A58D6"/>
    <w:rsid w:val="005C0DC0"/>
    <w:rsid w:val="005D68FE"/>
    <w:rsid w:val="00624A4B"/>
    <w:rsid w:val="006B4A22"/>
    <w:rsid w:val="00757CE3"/>
    <w:rsid w:val="007F0E3C"/>
    <w:rsid w:val="00802F89"/>
    <w:rsid w:val="008804FE"/>
    <w:rsid w:val="00C92066"/>
    <w:rsid w:val="00DB702E"/>
    <w:rsid w:val="00E23968"/>
    <w:rsid w:val="00E41B4C"/>
    <w:rsid w:val="00FE28CB"/>
    <w:rsid w:val="00FF7E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62D23FE-5CF6-4CC6-923F-A0677DBDB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2666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2666F"/>
  </w:style>
  <w:style w:type="paragraph" w:styleId="Stopka">
    <w:name w:val="footer"/>
    <w:basedOn w:val="Normalny"/>
    <w:link w:val="StopkaZnak"/>
    <w:uiPriority w:val="99"/>
    <w:unhideWhenUsed/>
    <w:rsid w:val="0022666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2666F"/>
  </w:style>
  <w:style w:type="table" w:styleId="Tabela-Siatka">
    <w:name w:val="Table Grid"/>
    <w:basedOn w:val="Standardowy"/>
    <w:uiPriority w:val="39"/>
    <w:rsid w:val="002266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E2396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2396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1BD016E8-2AF0-4ADB-8D10-57487C435DF7}">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561</Words>
  <Characters>3371</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Kulińska Patrycja</dc:creator>
  <cp:keywords/>
  <dc:description/>
  <cp:lastModifiedBy>Górczak Aleksandra</cp:lastModifiedBy>
  <cp:revision>5</cp:revision>
  <cp:lastPrinted>2025-01-27T10:11:00Z</cp:lastPrinted>
  <dcterms:created xsi:type="dcterms:W3CDTF">2025-01-22T08:46:00Z</dcterms:created>
  <dcterms:modified xsi:type="dcterms:W3CDTF">2025-01-27T10:37:00Z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df089416-dbf1-4395-8659-8b69234b9389</vt:lpwstr>
  </property>
  <property fmtid="{D5CDD505-2E9C-101B-9397-08002B2CF9AE}" pid="3"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s5636:Creator type=author">
    <vt:lpwstr>Kulińska Patrycja</vt:lpwstr>
  </property>
  <property fmtid="{D5CDD505-2E9C-101B-9397-08002B2CF9AE}" pid="7" name="s5636:Creator type=organization">
    <vt:lpwstr>MILNET-Z</vt:lpwstr>
  </property>
  <property fmtid="{D5CDD505-2E9C-101B-9397-08002B2CF9AE}" pid="8" name="bjPortionMark">
    <vt:lpwstr>[JAW]</vt:lpwstr>
  </property>
  <property fmtid="{D5CDD505-2E9C-101B-9397-08002B2CF9AE}" pid="9" name="bjClsUserRVM">
    <vt:lpwstr>[]</vt:lpwstr>
  </property>
  <property fmtid="{D5CDD505-2E9C-101B-9397-08002B2CF9AE}" pid="10" name="bjSaver">
    <vt:lpwstr>8h4SQ/GluL3oB0nK+aaoDqWmyAkSrdWg</vt:lpwstr>
  </property>
  <property fmtid="{D5CDD505-2E9C-101B-9397-08002B2CF9AE}" pid="11" name="s5636:Creator type=IP">
    <vt:lpwstr>10.71.68.177</vt:lpwstr>
  </property>
</Properties>
</file>