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CF004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  <w:r w:rsidR="004A616A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CF0048" w:rsidRPr="00CF0048" w:rsidRDefault="00ED3BE2" w:rsidP="00CF0048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CF0048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CF0048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044A0A" w:rsidRPr="00CF004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CF0048">
        <w:rPr>
          <w:rFonts w:ascii="Arial" w:eastAsia="Calibri" w:hAnsi="Arial" w:cs="Arial"/>
          <w:bCs/>
          <w:sz w:val="22"/>
          <w:szCs w:val="22"/>
          <w:lang w:val="pl-PL"/>
        </w:rPr>
        <w:br/>
        <w:t>o udzi</w:t>
      </w:r>
      <w:r w:rsidR="004A616A" w:rsidRPr="00CF0048">
        <w:rPr>
          <w:rFonts w:ascii="Arial" w:eastAsia="Calibri" w:hAnsi="Arial" w:cs="Arial"/>
          <w:bCs/>
          <w:sz w:val="22"/>
          <w:szCs w:val="22"/>
          <w:lang w:val="pl-PL"/>
        </w:rPr>
        <w:t xml:space="preserve">elenie zamówienia publicznego na </w:t>
      </w:r>
      <w:r w:rsidR="00CF0048" w:rsidRPr="00CF0048">
        <w:rPr>
          <w:rFonts w:ascii="Arial" w:hAnsi="Arial" w:cs="Arial"/>
          <w:b/>
          <w:bCs/>
          <w:sz w:val="22"/>
          <w:szCs w:val="22"/>
          <w:lang w:val="pl-PL"/>
        </w:rPr>
        <w:t xml:space="preserve">Usługi naprawy sprzętu informatycznego, peryferyjnego oraz sprzętu powszechnego użytku </w:t>
      </w:r>
      <w:bookmarkStart w:id="0" w:name="_GoBack"/>
      <w:bookmarkEnd w:id="0"/>
    </w:p>
    <w:p w:rsidR="0024715A" w:rsidRPr="00CF0048" w:rsidRDefault="0024715A" w:rsidP="0024715A">
      <w:pPr>
        <w:spacing w:line="360" w:lineRule="auto"/>
        <w:contextualSpacing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37E5E" w:rsidRPr="00F37E5E" w:rsidRDefault="00F37E5E" w:rsidP="0024715A">
      <w:pPr>
        <w:spacing w:line="360" w:lineRule="auto"/>
        <w:contextualSpacing/>
        <w:jc w:val="both"/>
        <w:rPr>
          <w:rFonts w:ascii="Arial" w:eastAsia="Calibri" w:hAnsi="Arial" w:cs="Arial"/>
          <w:b/>
        </w:rPr>
      </w:pPr>
    </w:p>
    <w:p w:rsidR="00044A0A" w:rsidRPr="00D748D2" w:rsidRDefault="006C51E0" w:rsidP="00F37E5E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6C63E2" w:rsidRDefault="006C63E2" w:rsidP="006C6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6C63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</w:t>
      </w:r>
      <w:r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:</w:t>
      </w:r>
    </w:p>
    <w:p w:rsid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5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7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8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1500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lastRenderedPageBreak/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</w:t>
      </w:r>
      <w:r w:rsidR="001B13DD" w:rsidRPr="001B13DD">
        <w:rPr>
          <w:i/>
          <w:lang w:val="en-US"/>
        </w:rPr>
        <w:t xml:space="preserve"> w art. 108 </w:t>
      </w:r>
      <w:proofErr w:type="spellStart"/>
      <w:r w:rsidR="001B13DD" w:rsidRPr="001B13DD">
        <w:rPr>
          <w:i/>
          <w:lang w:val="en-US"/>
        </w:rPr>
        <w:t>us</w:t>
      </w:r>
      <w:r w:rsidR="001B13DD">
        <w:rPr>
          <w:i/>
          <w:lang w:val="en-US"/>
        </w:rPr>
        <w:t>t</w:t>
      </w:r>
      <w:proofErr w:type="spellEnd"/>
      <w:r w:rsidR="001B13DD">
        <w:rPr>
          <w:i/>
          <w:lang w:val="en-US"/>
        </w:rPr>
        <w:t xml:space="preserve">. 1 </w:t>
      </w:r>
      <w:proofErr w:type="spellStart"/>
      <w:r w:rsidR="001B13DD">
        <w:rPr>
          <w:i/>
          <w:lang w:val="en-US"/>
        </w:rPr>
        <w:t>lub</w:t>
      </w:r>
      <w:proofErr w:type="spellEnd"/>
      <w:r w:rsidR="001B13DD">
        <w:rPr>
          <w:i/>
          <w:lang w:val="en-US"/>
        </w:rPr>
        <w:t xml:space="preserve"> art. 109 </w:t>
      </w:r>
      <w:proofErr w:type="spellStart"/>
      <w:r w:rsidR="001B13DD">
        <w:rPr>
          <w:i/>
          <w:lang w:val="en-US"/>
        </w:rPr>
        <w:t>ust</w:t>
      </w:r>
      <w:proofErr w:type="spellEnd"/>
      <w:r w:rsidR="001B13DD">
        <w:rPr>
          <w:i/>
          <w:lang w:val="en-US"/>
        </w:rPr>
        <w:t xml:space="preserve">. 1 pkt. </w:t>
      </w:r>
      <w:r w:rsidR="001B13DD" w:rsidRPr="001B13DD">
        <w:rPr>
          <w:i/>
          <w:lang w:val="en-US"/>
        </w:rPr>
        <w:t>5,7</w:t>
      </w:r>
      <w:r w:rsidR="001B13DD">
        <w:rPr>
          <w:i/>
          <w:lang w:val="en-US"/>
        </w:rPr>
        <w:t>,8</w:t>
      </w:r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ustawy</w:t>
      </w:r>
      <w:proofErr w:type="spellEnd"/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Pzp</w:t>
      </w:r>
      <w:proofErr w:type="spellEnd"/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615" w:rsidRDefault="000C7615" w:rsidP="004D7E7A">
      <w:r>
        <w:separator/>
      </w:r>
    </w:p>
  </w:endnote>
  <w:endnote w:type="continuationSeparator" w:id="0">
    <w:p w:rsidR="000C7615" w:rsidRDefault="000C7615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615" w:rsidRDefault="000C7615" w:rsidP="004D7E7A">
      <w:r>
        <w:separator/>
      </w:r>
    </w:p>
  </w:footnote>
  <w:footnote w:type="continuationSeparator" w:id="0">
    <w:p w:rsidR="000C7615" w:rsidRDefault="000C7615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165A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E3036"/>
    <w:multiLevelType w:val="hybridMultilevel"/>
    <w:tmpl w:val="8F842F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C7615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1B13DD"/>
    <w:rsid w:val="00216101"/>
    <w:rsid w:val="002323E6"/>
    <w:rsid w:val="0024715A"/>
    <w:rsid w:val="00263178"/>
    <w:rsid w:val="00291D6C"/>
    <w:rsid w:val="002D6CE4"/>
    <w:rsid w:val="002F2231"/>
    <w:rsid w:val="00302DB6"/>
    <w:rsid w:val="00307482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76C33"/>
    <w:rsid w:val="00490BA1"/>
    <w:rsid w:val="004A616A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6C63E2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1640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CF0048"/>
    <w:rsid w:val="00D216AA"/>
    <w:rsid w:val="00D21B0C"/>
    <w:rsid w:val="00D46849"/>
    <w:rsid w:val="00D748D2"/>
    <w:rsid w:val="00D9174B"/>
    <w:rsid w:val="00DB7E89"/>
    <w:rsid w:val="00DC43EF"/>
    <w:rsid w:val="00DC640D"/>
    <w:rsid w:val="00DF016A"/>
    <w:rsid w:val="00E01FD8"/>
    <w:rsid w:val="00E140D8"/>
    <w:rsid w:val="00E26457"/>
    <w:rsid w:val="00E412CD"/>
    <w:rsid w:val="00E64410"/>
    <w:rsid w:val="00EC2141"/>
    <w:rsid w:val="00EC2C28"/>
    <w:rsid w:val="00EC36F8"/>
    <w:rsid w:val="00ED3BE2"/>
    <w:rsid w:val="00EE15B5"/>
    <w:rsid w:val="00EF0C96"/>
    <w:rsid w:val="00F2174B"/>
    <w:rsid w:val="00F37E5E"/>
    <w:rsid w:val="00F57D2A"/>
    <w:rsid w:val="00F91779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A76E7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6AE7CF-63DD-49C9-855F-F760FE4A1B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7</cp:revision>
  <dcterms:created xsi:type="dcterms:W3CDTF">2025-01-14T08:24:00Z</dcterms:created>
  <dcterms:modified xsi:type="dcterms:W3CDTF">2025-05-08T11:10:00Z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