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45B6" w14:textId="77777777" w:rsidR="002D104D" w:rsidRPr="00CC67B6" w:rsidRDefault="002D104D" w:rsidP="002D104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2D104D" w:rsidRPr="00CC67B6" w14:paraId="73C3986C" w14:textId="77777777" w:rsidTr="0051055F">
        <w:trPr>
          <w:trHeight w:val="877"/>
        </w:trPr>
        <w:tc>
          <w:tcPr>
            <w:tcW w:w="392" w:type="dxa"/>
          </w:tcPr>
          <w:p w14:paraId="45112F75" w14:textId="77777777" w:rsidR="002D104D" w:rsidRPr="00CC67B6" w:rsidRDefault="002D104D" w:rsidP="0051055F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</w:tcPr>
          <w:p w14:paraId="3F567B43" w14:textId="77777777" w:rsidR="002D104D" w:rsidRPr="00CC67B6" w:rsidRDefault="002D104D" w:rsidP="0051055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14:paraId="31BB5455" w14:textId="77777777" w:rsidR="002D104D" w:rsidRDefault="002D104D" w:rsidP="002D104D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Calibri" w:eastAsia="Calibri" w:hAnsi="Calibri"/>
        </w:rPr>
        <w:object w:dxaOrig="1440" w:dyaOrig="1440" w14:anchorId="61084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;mso-position-horizontal-relative:text;mso-position-vertical-relative:text">
            <v:imagedata r:id="rId4" o:title=""/>
            <w10:wrap type="square" side="right"/>
          </v:shape>
          <o:OLEObject Type="Embed" ProgID="Msxml2.SAXXMLReader.5.0" ShapeID="_x0000_s1026" DrawAspect="Content" ObjectID="_1806924552" r:id="rId5"/>
        </w:object>
      </w: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7A9F0656" w14:textId="77777777" w:rsidR="002D104D" w:rsidRDefault="002D104D" w:rsidP="002D104D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41C2F9B1" w14:textId="77777777" w:rsidR="002D104D" w:rsidRDefault="002D104D" w:rsidP="002D104D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FF1DD3B" w14:textId="77777777" w:rsidR="002D104D" w:rsidRDefault="002D104D" w:rsidP="002D104D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2CC109C9" w14:textId="77777777" w:rsidR="002D104D" w:rsidRPr="003A2803" w:rsidRDefault="002D104D" w:rsidP="002D104D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04A1267C" w14:textId="77777777" w:rsidR="002D104D" w:rsidRDefault="002D104D" w:rsidP="002D104D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354E1AF2" w14:textId="35DD27CE" w:rsidR="002D104D" w:rsidRPr="001D251F" w:rsidRDefault="002D104D" w:rsidP="002D104D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23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.04</w:t>
      </w: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.2025 r.</w:t>
      </w:r>
    </w:p>
    <w:p w14:paraId="106C7CB9" w14:textId="77777777" w:rsidR="002D104D" w:rsidRPr="001D251F" w:rsidRDefault="002D104D" w:rsidP="002D104D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2CF991A3" w14:textId="77777777" w:rsidR="002D104D" w:rsidRPr="001D251F" w:rsidRDefault="002D104D" w:rsidP="002D104D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7D54D82D" w14:textId="77777777" w:rsidR="002D104D" w:rsidRDefault="002D104D" w:rsidP="002D104D">
      <w:pPr>
        <w:widowControl w:val="0"/>
        <w:suppressAutoHyphens/>
        <w:spacing w:after="0" w:line="240" w:lineRule="auto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491A86">
        <w:rPr>
          <w:rFonts w:ascii="Book Antiqua" w:hAnsi="Book Antiqua" w:cs="Book Antiqua"/>
          <w:b/>
          <w:bCs/>
          <w:sz w:val="20"/>
          <w:szCs w:val="20"/>
          <w:lang w:eastAsia="pl-PL"/>
        </w:rPr>
        <w:t>UKW/DZP-281-ZO-B-12/2025</w:t>
      </w:r>
    </w:p>
    <w:p w14:paraId="3AF63EDE" w14:textId="77777777" w:rsidR="002D104D" w:rsidRPr="001D251F" w:rsidRDefault="002D104D" w:rsidP="002D104D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13D6A2B1" w14:textId="77777777" w:rsidR="002D104D" w:rsidRPr="001D251F" w:rsidRDefault="002D104D" w:rsidP="002D104D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INFORMACJA O MODYFIKACJI TREŚCI ZAPYTANIA OFERTOWEGO</w:t>
      </w:r>
    </w:p>
    <w:p w14:paraId="2C2C2430" w14:textId="77777777" w:rsidR="002D104D" w:rsidRPr="001D251F" w:rsidRDefault="002D104D" w:rsidP="002D104D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34750EA5" w14:textId="77777777" w:rsidR="002D104D" w:rsidRPr="001D251F" w:rsidRDefault="002D104D" w:rsidP="002D104D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09BF952E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Uniwersytet Kazimierza Wielkiego w Bydgoszczy informuje, że w postępowaniu pn. „</w:t>
      </w:r>
      <w:r w:rsidRPr="00491A86">
        <w:rPr>
          <w:rFonts w:ascii="Book Antiqua" w:hAnsi="Book Antiqua" w:cs="Book Antiqua"/>
          <w:b/>
          <w:bCs/>
          <w:i/>
          <w:iCs/>
          <w:sz w:val="20"/>
          <w:szCs w:val="20"/>
          <w:lang w:eastAsia="pl-PL"/>
        </w:rPr>
        <w:t>Sukcesywna dostawa odczynników i materiałów zużywalnych na potrzeby UKW</w:t>
      </w: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” dokonuje modyfikacji treści zapytania ofertowego w następującym zakresie:</w:t>
      </w:r>
    </w:p>
    <w:p w14:paraId="15CAB2E5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1C3DC2FA" w14:textId="17EE5AAC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1. </w:t>
      </w:r>
      <w:r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Załącznik nr 2 Formularz Cenowy, część </w:t>
      </w:r>
      <w:r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>4</w:t>
      </w:r>
      <w:r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, pozycja </w:t>
      </w:r>
      <w:r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>6</w:t>
      </w:r>
      <w:r w:rsidRPr="001D251F"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  <w:t xml:space="preserve"> </w:t>
      </w:r>
      <w:r w:rsidRPr="001D251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:</w:t>
      </w:r>
    </w:p>
    <w:p w14:paraId="086DA4C0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71560881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bookmarkStart w:id="0" w:name="_Hlk193708745"/>
      <w:r w:rsidRPr="001D251F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>Jest:</w:t>
      </w:r>
    </w:p>
    <w:p w14:paraId="371AB260" w14:textId="5F70D135" w:rsidR="002D104D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bookmarkStart w:id="1" w:name="_Hlk193708866"/>
      <w:bookmarkEnd w:id="0"/>
      <w:r w:rsidRPr="002D104D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Butla lab 1000ml DURAN </w:t>
      </w:r>
      <w:proofErr w:type="spellStart"/>
      <w:r w:rsidRPr="002D104D">
        <w:rPr>
          <w:rFonts w:ascii="Book Antiqua" w:hAnsi="Book Antiqua" w:cs="Tahoma"/>
          <w:kern w:val="2"/>
          <w:sz w:val="20"/>
          <w:szCs w:val="20"/>
          <w:lang w:eastAsia="hi-IN" w:bidi="hi-IN"/>
        </w:rPr>
        <w:t>Youtility</w:t>
      </w:r>
      <w:proofErr w:type="spellEnd"/>
      <w:r w:rsidRPr="002D104D">
        <w:rPr>
          <w:rFonts w:ascii="Book Antiqua" w:hAnsi="Book Antiqua" w:cs="Tahoma"/>
          <w:kern w:val="2"/>
          <w:sz w:val="20"/>
          <w:szCs w:val="20"/>
          <w:lang w:eastAsia="hi-IN" w:bidi="hi-IN"/>
        </w:rPr>
        <w:t>, gwint GL 45, opak. 4 szt.; zgodny z nr kat. SCHOTT*2188154(57) lub równoważny</w:t>
      </w:r>
    </w:p>
    <w:p w14:paraId="0616B5A0" w14:textId="77777777" w:rsidR="002D104D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1639F0D5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>Powinno być:</w:t>
      </w:r>
    </w:p>
    <w:bookmarkEnd w:id="1"/>
    <w:p w14:paraId="47D8DAB1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7BA1008B" w14:textId="39DD568A" w:rsidR="002D104D" w:rsidRPr="001D251F" w:rsidRDefault="002D104D" w:rsidP="002D104D">
      <w:pPr>
        <w:widowControl w:val="0"/>
        <w:tabs>
          <w:tab w:val="left" w:pos="426"/>
        </w:tabs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2D104D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Butla lab 1000ml DURAN </w:t>
      </w:r>
      <w:proofErr w:type="spellStart"/>
      <w:r w:rsidRPr="002D104D">
        <w:rPr>
          <w:rFonts w:ascii="Book Antiqua" w:hAnsi="Book Antiqua" w:cs="Tahoma"/>
          <w:kern w:val="2"/>
          <w:sz w:val="20"/>
          <w:szCs w:val="20"/>
          <w:lang w:eastAsia="hi-IN" w:bidi="hi-IN"/>
        </w:rPr>
        <w:t>Youtility</w:t>
      </w:r>
      <w:proofErr w:type="spellEnd"/>
      <w:r w:rsidRPr="002D104D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, gwint GL 45, opak. 4 szt.; </w:t>
      </w:r>
    </w:p>
    <w:p w14:paraId="385A7D7F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b/>
          <w:bCs/>
          <w:kern w:val="2"/>
          <w:sz w:val="20"/>
          <w:szCs w:val="20"/>
          <w:lang w:eastAsia="hi-IN" w:bidi="hi-IN"/>
        </w:rPr>
      </w:pPr>
    </w:p>
    <w:p w14:paraId="028D3D31" w14:textId="77777777" w:rsidR="002D104D" w:rsidRPr="001D251F" w:rsidRDefault="002D104D" w:rsidP="002D104D">
      <w:pPr>
        <w:widowControl w:val="0"/>
        <w:suppressAutoHyphens/>
        <w:spacing w:after="0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7F714249" w14:textId="77777777" w:rsidR="002D104D" w:rsidRPr="001D251F" w:rsidRDefault="002D104D" w:rsidP="002D104D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>Pozostałe zapisy zapytania ofertowego pozostają bez zmian.</w:t>
      </w:r>
    </w:p>
    <w:p w14:paraId="3708E149" w14:textId="77777777" w:rsidR="002D104D" w:rsidRPr="001D251F" w:rsidRDefault="002D104D" w:rsidP="002D104D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Zmodyfikowana treść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załącznika nr 2 Formularz Cenowy</w:t>
      </w:r>
      <w:r w:rsidRPr="001D251F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stanowi załącznik do niniejszego pisma.</w:t>
      </w:r>
    </w:p>
    <w:p w14:paraId="6AB7742D" w14:textId="77777777" w:rsidR="002D104D" w:rsidRDefault="002D104D" w:rsidP="002D104D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1AF0C734" w14:textId="77777777" w:rsidR="002D104D" w:rsidRDefault="002D104D" w:rsidP="002D104D">
      <w:pPr>
        <w:widowControl w:val="0"/>
        <w:suppressAutoHyphens/>
        <w:spacing w:after="0" w:line="240" w:lineRule="auto"/>
        <w:jc w:val="center"/>
        <w:rPr>
          <w:rFonts w:ascii="Book Antiqua" w:hAnsi="Book Antiqua" w:cs="Tahoma"/>
          <w:b/>
          <w:kern w:val="2"/>
          <w:sz w:val="24"/>
          <w:szCs w:val="24"/>
          <w:lang w:eastAsia="hi-IN" w:bidi="hi-IN"/>
        </w:rPr>
      </w:pPr>
    </w:p>
    <w:p w14:paraId="2216DC1A" w14:textId="77777777" w:rsidR="002D104D" w:rsidRPr="00EF681B" w:rsidRDefault="002D104D" w:rsidP="002D104D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lang w:eastAsia="hi-IN" w:bidi="hi-IN"/>
        </w:rPr>
      </w:pPr>
    </w:p>
    <w:p w14:paraId="62068C7D" w14:textId="77777777" w:rsidR="002D104D" w:rsidRPr="00EF681B" w:rsidRDefault="002D104D" w:rsidP="002D104D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EF681B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Kanclerz UKW</w:t>
      </w:r>
    </w:p>
    <w:p w14:paraId="30487658" w14:textId="77777777" w:rsidR="002D104D" w:rsidRPr="00EF681B" w:rsidRDefault="002D104D" w:rsidP="002D104D">
      <w:pPr>
        <w:widowControl w:val="0"/>
        <w:suppressAutoHyphens/>
        <w:spacing w:after="0" w:line="240" w:lineRule="auto"/>
        <w:jc w:val="right"/>
        <w:rPr>
          <w:sz w:val="20"/>
          <w:szCs w:val="20"/>
        </w:rPr>
      </w:pPr>
      <w:r w:rsidRPr="00EF681B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mgr Monika Matowska</w:t>
      </w:r>
    </w:p>
    <w:p w14:paraId="66F0ED20" w14:textId="77777777" w:rsidR="002D104D" w:rsidRPr="00EF681B" w:rsidRDefault="002D104D" w:rsidP="002D104D"/>
    <w:p w14:paraId="5F41FE47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D"/>
    <w:rsid w:val="002D104D"/>
    <w:rsid w:val="00D2267B"/>
    <w:rsid w:val="00E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D540C"/>
  <w15:chartTrackingRefBased/>
  <w15:docId w15:val="{855A31EF-ECEC-4473-AE6E-9A12928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04D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1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2025-04-23T12:42:00Z</cp:lastPrinted>
  <dcterms:created xsi:type="dcterms:W3CDTF">2025-04-23T12:36:00Z</dcterms:created>
  <dcterms:modified xsi:type="dcterms:W3CDTF">2025-04-23T12:43:00Z</dcterms:modified>
</cp:coreProperties>
</file>