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AAF0" w14:textId="77777777" w:rsidR="00D4329F" w:rsidRPr="00D4329F" w:rsidRDefault="00D4329F" w:rsidP="00D4329F">
      <w:pPr>
        <w:shd w:val="clear" w:color="auto" w:fill="FFFFFF"/>
        <w:jc w:val="right"/>
        <w:rPr>
          <w:rFonts w:ascii="Poppins" w:hAnsi="Poppins" w:cs="Poppins"/>
          <w:sz w:val="18"/>
          <w:szCs w:val="18"/>
        </w:rPr>
      </w:pPr>
      <w:r w:rsidRPr="00D4329F">
        <w:rPr>
          <w:rFonts w:ascii="Poppins" w:hAnsi="Poppins" w:cs="Poppins"/>
          <w:sz w:val="18"/>
          <w:szCs w:val="18"/>
        </w:rPr>
        <w:t>zał</w:t>
      </w:r>
      <w:r w:rsidRPr="00D4329F">
        <w:rPr>
          <w:rFonts w:ascii="Poppins" w:eastAsia="TimesNewRoman" w:hAnsi="Poppins" w:cs="Poppins"/>
          <w:sz w:val="18"/>
          <w:szCs w:val="18"/>
        </w:rPr>
        <w:t>ą</w:t>
      </w:r>
      <w:r w:rsidRPr="00D4329F">
        <w:rPr>
          <w:rFonts w:ascii="Poppins" w:hAnsi="Poppins" w:cs="Poppins"/>
          <w:sz w:val="18"/>
          <w:szCs w:val="18"/>
        </w:rPr>
        <w:t>cznik nr 3</w:t>
      </w:r>
    </w:p>
    <w:p w14:paraId="403958F5" w14:textId="77777777" w:rsidR="00D4329F" w:rsidRPr="00D4329F" w:rsidRDefault="00D4329F" w:rsidP="00D4329F">
      <w:pPr>
        <w:shd w:val="clear" w:color="auto" w:fill="FFFFFF"/>
        <w:spacing w:after="240"/>
        <w:jc w:val="right"/>
        <w:rPr>
          <w:rFonts w:ascii="Poppins" w:hAnsi="Poppins" w:cs="Poppins"/>
          <w:sz w:val="18"/>
          <w:szCs w:val="18"/>
        </w:rPr>
      </w:pPr>
      <w:r w:rsidRPr="00D4329F">
        <w:rPr>
          <w:rFonts w:ascii="Poppins" w:hAnsi="Poppins" w:cs="Poppins"/>
          <w:sz w:val="18"/>
          <w:szCs w:val="18"/>
        </w:rPr>
        <w:t xml:space="preserve"> do zarządzenia  Nr 12/2024 Dyrektora ZGM z dnia 22.11.2024 r.</w:t>
      </w:r>
    </w:p>
    <w:p w14:paraId="49F55BB9" w14:textId="77777777" w:rsidR="007862AD" w:rsidRPr="007862AD" w:rsidRDefault="00D4329F" w:rsidP="007862AD">
      <w:pPr>
        <w:adjustRightInd w:val="0"/>
        <w:jc w:val="center"/>
        <w:rPr>
          <w:rFonts w:ascii="Poppins" w:hAnsi="Poppins" w:cs="Poppins"/>
          <w:b/>
          <w:bCs/>
          <w:sz w:val="18"/>
          <w:szCs w:val="18"/>
        </w:rPr>
      </w:pPr>
      <w:r w:rsidRPr="00D4329F">
        <w:rPr>
          <w:rFonts w:ascii="Poppins" w:hAnsi="Poppins" w:cs="Poppins"/>
          <w:b/>
          <w:bCs/>
          <w:sz w:val="18"/>
          <w:szCs w:val="18"/>
        </w:rPr>
        <w:t>Regulamin zapytania ofertowego dotyczącego wyłonienia wykonawcy na wykonani</w:t>
      </w:r>
      <w:r w:rsidR="00CB734A">
        <w:rPr>
          <w:rFonts w:ascii="Poppins" w:hAnsi="Poppins" w:cs="Poppins"/>
          <w:b/>
          <w:bCs/>
          <w:sz w:val="18"/>
          <w:szCs w:val="18"/>
        </w:rPr>
        <w:t xml:space="preserve">e </w:t>
      </w:r>
    </w:p>
    <w:p w14:paraId="64CC99E0" w14:textId="3D1B8E37" w:rsidR="007862AD" w:rsidRPr="007862AD" w:rsidRDefault="007862AD" w:rsidP="007862AD">
      <w:pPr>
        <w:adjustRightInd w:val="0"/>
        <w:jc w:val="center"/>
        <w:rPr>
          <w:rFonts w:ascii="Poppins" w:hAnsi="Poppins" w:cs="Poppins"/>
          <w:b/>
          <w:bCs/>
          <w:sz w:val="18"/>
          <w:szCs w:val="18"/>
        </w:rPr>
      </w:pPr>
      <w:r w:rsidRPr="007862AD">
        <w:rPr>
          <w:rFonts w:ascii="Poppins" w:hAnsi="Poppins" w:cs="Poppins"/>
          <w:b/>
          <w:bCs/>
          <w:sz w:val="18"/>
          <w:szCs w:val="18"/>
        </w:rPr>
        <w:t xml:space="preserve">audytu remontowego oraz projektu remontu budynku przy ul. Śląskiej 70 </w:t>
      </w:r>
    </w:p>
    <w:p w14:paraId="559BBB46" w14:textId="77777777" w:rsidR="007862AD" w:rsidRDefault="007862AD" w:rsidP="007862AD">
      <w:pPr>
        <w:adjustRightInd w:val="0"/>
        <w:jc w:val="center"/>
        <w:rPr>
          <w:rFonts w:ascii="Poppins" w:hAnsi="Poppins" w:cs="Poppins"/>
          <w:b/>
          <w:bCs/>
          <w:sz w:val="18"/>
          <w:szCs w:val="18"/>
        </w:rPr>
      </w:pPr>
      <w:r w:rsidRPr="007862AD">
        <w:rPr>
          <w:rFonts w:ascii="Poppins" w:hAnsi="Poppins" w:cs="Poppins"/>
          <w:b/>
          <w:bCs/>
          <w:sz w:val="18"/>
          <w:szCs w:val="18"/>
        </w:rPr>
        <w:t>w Gorzowie Wlkp.</w:t>
      </w:r>
    </w:p>
    <w:p w14:paraId="1C5B3DF8" w14:textId="652B9FBB" w:rsidR="00D4329F" w:rsidRPr="00D4329F" w:rsidRDefault="00D4329F" w:rsidP="007862AD">
      <w:pPr>
        <w:adjustRightInd w:val="0"/>
        <w:jc w:val="center"/>
        <w:rPr>
          <w:rFonts w:ascii="Poppins" w:hAnsi="Poppins" w:cs="Poppins"/>
          <w:bCs/>
          <w:sz w:val="18"/>
          <w:szCs w:val="18"/>
        </w:rPr>
      </w:pPr>
      <w:r w:rsidRPr="00D4329F">
        <w:rPr>
          <w:rFonts w:ascii="Poppins" w:hAnsi="Poppins" w:cs="Poppins"/>
          <w:bCs/>
          <w:sz w:val="18"/>
          <w:szCs w:val="18"/>
        </w:rPr>
        <w:t>W postępowaniu wykonawca może złożyć za pośrednictwem platformy zakupowej jedną ofertę sporządzoną w języku polskim.</w:t>
      </w:r>
    </w:p>
    <w:p w14:paraId="736505BE" w14:textId="2131633D" w:rsidR="00D4329F" w:rsidRPr="00D4329F" w:rsidRDefault="00D4329F" w:rsidP="00D4329F">
      <w:pPr>
        <w:pStyle w:val="Akapitzlist"/>
        <w:numPr>
          <w:ilvl w:val="0"/>
          <w:numId w:val="7"/>
        </w:numPr>
        <w:suppressAutoHyphens/>
        <w:spacing w:after="0" w:line="240" w:lineRule="auto"/>
        <w:contextualSpacing w:val="0"/>
        <w:jc w:val="both"/>
        <w:rPr>
          <w:rFonts w:ascii="Poppins" w:hAnsi="Poppins" w:cs="Poppins"/>
          <w:sz w:val="18"/>
          <w:szCs w:val="18"/>
        </w:rPr>
      </w:pPr>
      <w:r w:rsidRPr="00D4329F">
        <w:rPr>
          <w:rFonts w:ascii="Poppins" w:hAnsi="Poppins" w:cs="Poppins"/>
          <w:sz w:val="18"/>
          <w:szCs w:val="18"/>
        </w:rPr>
        <w:t xml:space="preserve">Wykonawca ponosi wszelkie skutki nieprawidłowego złożenia oferty, w tym w szczególności: </w:t>
      </w:r>
      <w:r>
        <w:rPr>
          <w:rFonts w:ascii="Poppins" w:hAnsi="Poppins" w:cs="Poppins"/>
          <w:sz w:val="18"/>
          <w:szCs w:val="18"/>
        </w:rPr>
        <w:br/>
      </w:r>
      <w:r w:rsidRPr="00D4329F">
        <w:rPr>
          <w:rFonts w:ascii="Poppins" w:hAnsi="Poppins" w:cs="Poppins"/>
          <w:sz w:val="18"/>
          <w:szCs w:val="18"/>
        </w:rPr>
        <w:t xml:space="preserve">w niewłaściwym postępowaniu na platformie zakupowej, w niewłaściwym miejscu </w:t>
      </w:r>
      <w:r>
        <w:rPr>
          <w:rFonts w:ascii="Poppins" w:hAnsi="Poppins" w:cs="Poppins"/>
          <w:sz w:val="18"/>
          <w:szCs w:val="18"/>
        </w:rPr>
        <w:br/>
      </w:r>
      <w:r w:rsidRPr="00D4329F">
        <w:rPr>
          <w:rFonts w:ascii="Poppins" w:hAnsi="Poppins" w:cs="Poppins"/>
          <w:sz w:val="18"/>
          <w:szCs w:val="18"/>
        </w:rPr>
        <w:t>na platformie zakupowej, w niewłaściwym terminie, itp.</w:t>
      </w:r>
    </w:p>
    <w:p w14:paraId="059A42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Oferta musi zawierać wszelkie dane umożliwiające weryfikację wykonawcy, jak również wszelkie załączniki i oświadczenia wymagane przez Zamawiającego w zapytaniu ofertowym.</w:t>
      </w:r>
    </w:p>
    <w:p w14:paraId="09E7F2CA"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dopuszcza się możliwości składania ofert wariantowych.</w:t>
      </w:r>
    </w:p>
    <w:p w14:paraId="2259DA1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Co do zasady, oferty niekompletne, nieumożliwiające zidentyfikowania wykonawcy podlegają odrzuceniu, chyba że Zamawiający postanowi inaczej.</w:t>
      </w:r>
    </w:p>
    <w:p w14:paraId="6C1092B9" w14:textId="7EB8ECFA"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Oferta niezgodna z opisem przedmiotu zamówienia wskazanym w zapytaniu ofertowym, </w:t>
      </w:r>
      <w:r>
        <w:rPr>
          <w:rFonts w:ascii="Poppins" w:hAnsi="Poppins" w:cs="Poppins"/>
          <w:bCs/>
          <w:sz w:val="18"/>
          <w:szCs w:val="18"/>
        </w:rPr>
        <w:br/>
      </w:r>
      <w:r w:rsidRPr="00D4329F">
        <w:rPr>
          <w:rFonts w:ascii="Poppins" w:hAnsi="Poppins" w:cs="Poppins"/>
          <w:bCs/>
          <w:sz w:val="18"/>
          <w:szCs w:val="18"/>
        </w:rPr>
        <w:t>z zastrzeżeniem ust. 21 i 22 poniżej, podlega odrzuceniu.</w:t>
      </w:r>
    </w:p>
    <w:p w14:paraId="52D9B266"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 odrzuceniu ofert Zamawiający poinformuje wykonawców, których oferty zostały odrzucone podając uzasadnienie, nie później niż wraz z informacją o wyborze oferty najkorzystniejszej.</w:t>
      </w:r>
    </w:p>
    <w:p w14:paraId="049DE22D"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Oferty złożone po terminie nie będą rozpatrywane.</w:t>
      </w:r>
    </w:p>
    <w:p w14:paraId="37FA9A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Szczegółowej weryfikacji będą podlegać wszystkie oferty.</w:t>
      </w:r>
    </w:p>
    <w:p w14:paraId="23F7F6A0" w14:textId="17684083"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Zamówienie zostanie udzielone Wykonawcy, którego oferta nie będzie podlegała odrzuceniu, a który zaoferuje najkorzystniejsze warunki zgodnie z kryteriami oceny ofert przewidzianymi </w:t>
      </w:r>
      <w:r>
        <w:rPr>
          <w:rFonts w:ascii="Poppins" w:hAnsi="Poppins" w:cs="Poppins"/>
          <w:bCs/>
          <w:sz w:val="18"/>
          <w:szCs w:val="18"/>
        </w:rPr>
        <w:br/>
      </w:r>
      <w:r w:rsidRPr="00D4329F">
        <w:rPr>
          <w:rFonts w:ascii="Poppins" w:hAnsi="Poppins" w:cs="Poppins"/>
          <w:bCs/>
          <w:sz w:val="18"/>
          <w:szCs w:val="18"/>
        </w:rPr>
        <w:t>w treści zaproszenia.</w:t>
      </w:r>
    </w:p>
    <w:p w14:paraId="7ABD1DA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możliwość negocjowania warunków oferty, w szczególności w sytuacji, gdy przekracza ona możliwości finansowe Zamawiającego (negocjuje pełnomocnik wspólnot). </w:t>
      </w:r>
    </w:p>
    <w:p w14:paraId="4427A573"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 xml:space="preserve">Negocjacje będą prowadzone na Platformie Zakupowej z wykorzystaniem dostępnych na niej trybów i narzędzi, </w:t>
      </w:r>
    </w:p>
    <w:p w14:paraId="40030A8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jest wyłącznie cena, negocjuje się ze wskazanymi przez Zamawiającego wykonawcami, nie mniej niż 2. Jeżeli liczba ofert jest mniejsza lub równa 2, negocjacje prowadzi się ze wszystkimi wykonawcami.</w:t>
      </w:r>
    </w:p>
    <w:p w14:paraId="4FB72658" w14:textId="48F3B91B"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są inne niż cena istotne warunki realizacji zamówienia,</w:t>
      </w:r>
      <w:r>
        <w:rPr>
          <w:rFonts w:ascii="Poppins" w:hAnsi="Poppins" w:cs="Poppins"/>
          <w:bCs/>
          <w:sz w:val="18"/>
          <w:szCs w:val="18"/>
        </w:rPr>
        <w:br/>
      </w:r>
      <w:r w:rsidRPr="00D4329F">
        <w:rPr>
          <w:rFonts w:ascii="Poppins" w:hAnsi="Poppins" w:cs="Poppins"/>
          <w:bCs/>
          <w:sz w:val="18"/>
          <w:szCs w:val="18"/>
        </w:rPr>
        <w:t xml:space="preserve"> w szczególności: zakres zamówienia, warunki płatności, termin wykonania – negocjuje się </w:t>
      </w:r>
      <w:r>
        <w:rPr>
          <w:rFonts w:ascii="Poppins" w:hAnsi="Poppins" w:cs="Poppins"/>
          <w:bCs/>
          <w:sz w:val="18"/>
          <w:szCs w:val="18"/>
        </w:rPr>
        <w:br/>
      </w:r>
      <w:r w:rsidRPr="00D4329F">
        <w:rPr>
          <w:rFonts w:ascii="Poppins" w:hAnsi="Poppins" w:cs="Poppins"/>
          <w:bCs/>
          <w:sz w:val="18"/>
          <w:szCs w:val="18"/>
        </w:rPr>
        <w:t xml:space="preserve">ze wszystkimi wykonawcami, którzy złożyli oferty. Ewentualne zmiany w tym zakresie </w:t>
      </w:r>
      <w:r>
        <w:rPr>
          <w:rFonts w:ascii="Poppins" w:hAnsi="Poppins" w:cs="Poppins"/>
          <w:bCs/>
          <w:sz w:val="18"/>
          <w:szCs w:val="18"/>
        </w:rPr>
        <w:br/>
      </w:r>
      <w:r w:rsidRPr="00D4329F">
        <w:rPr>
          <w:rFonts w:ascii="Poppins" w:hAnsi="Poppins" w:cs="Poppins"/>
          <w:bCs/>
          <w:sz w:val="18"/>
          <w:szCs w:val="18"/>
        </w:rPr>
        <w:t>w odniesieniu do pierwotnych warunków wymagają akceptacji Zamawiającego.</w:t>
      </w:r>
    </w:p>
    <w:p w14:paraId="4046E73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Prowadzone negocjacje maja charakter poufny.</w:t>
      </w:r>
    </w:p>
    <w:p w14:paraId="7B22173A" w14:textId="49111F38"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Negocjacje prowadzone za pomocą platformy zakupowej dokumentuje się za pomocą generowanych raportów lub historii korespondencji. Z negocjacji prowadzonych bezpośrednio sporządza się protokół w formie pisemnej. Wskazana dokumentacja </w:t>
      </w:r>
      <w:r>
        <w:rPr>
          <w:rFonts w:ascii="Poppins" w:hAnsi="Poppins" w:cs="Poppins"/>
          <w:bCs/>
          <w:sz w:val="18"/>
          <w:szCs w:val="18"/>
        </w:rPr>
        <w:br/>
      </w:r>
      <w:r w:rsidRPr="00D4329F">
        <w:rPr>
          <w:rFonts w:ascii="Poppins" w:hAnsi="Poppins" w:cs="Poppins"/>
          <w:bCs/>
          <w:sz w:val="18"/>
          <w:szCs w:val="18"/>
        </w:rPr>
        <w:t>z negocjacji stanowi załącznik do umowy.</w:t>
      </w:r>
    </w:p>
    <w:p w14:paraId="65E206E0" w14:textId="30E77C1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lastRenderedPageBreak/>
        <w:t xml:space="preserve">Dopuszcza się przesunięcie terminu składania ofert, w sytuacji braku ofert na co najmniej </w:t>
      </w:r>
      <w:r>
        <w:rPr>
          <w:rFonts w:ascii="Poppins" w:hAnsi="Poppins" w:cs="Poppins"/>
          <w:bCs/>
          <w:sz w:val="18"/>
          <w:szCs w:val="18"/>
        </w:rPr>
        <w:br/>
      </w:r>
      <w:r w:rsidRPr="00D4329F">
        <w:rPr>
          <w:rFonts w:ascii="Poppins" w:hAnsi="Poppins" w:cs="Poppins"/>
          <w:bCs/>
          <w:sz w:val="18"/>
          <w:szCs w:val="18"/>
        </w:rPr>
        <w:t xml:space="preserve">20 minut przed upływem uprzednio wyznaczonego. </w:t>
      </w:r>
    </w:p>
    <w:p w14:paraId="2B2EB47D"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otwarciu ofert Zamawiający  udostępni wykonawcom, którzy złożyli oferty, na platformie zakupowej informację z otwarcia ofert zawierającą min. nazwy i adresy wykonawców oraz oferowane ceny.</w:t>
      </w:r>
    </w:p>
    <w:p w14:paraId="39CEF59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sytuacji, gdy cena jest jedynym kryterium oceny ofert, jeżeli nie będzie można wybrać oferty ze względu na fakt, że kilka ofert zostanie złożonych z tą samą ceną, Zamawiający może wezwać wykonawców do złożenia ofert dodatkowych lub przeprowadzić z nimi negocjacje. Do negocjacji mają zastosowanie postanowienia pkt 12-15 powyżej.</w:t>
      </w:r>
    </w:p>
    <w:p w14:paraId="53B00442"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dopuszcza możliwość zmiany kryteriów oceny po uzyskaniu ofert. Decyzję w tym zakresie podejmie Zamawiający, Wykonawcy zostaną o tym fakcie poinformowani, a w razie potrzeby zostaną wezwani do złożenia dodatkowych oświadczeń lub dokumentów, jak również o innych warunkach, co do których właściciele przewidują szczególny sposób postępowania.</w:t>
      </w:r>
    </w:p>
    <w:p w14:paraId="22A03B7C"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oczywiste omyłki pisarskie i oczywiste omyłki rachunkowe.</w:t>
      </w:r>
    </w:p>
    <w:p w14:paraId="7816BFE9"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inne omyłki polegające na niezgodności treści oferty z treścią zaproszenia za zgodą wykonawcy uzyskaną najpóźniej przed podpisaniem umowy.</w:t>
      </w:r>
    </w:p>
    <w:p w14:paraId="1BCD52DF"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wyborze oferty najkorzystniejszej, zamieszczona zostanie informacja zwierająca co najmniej nazwę i adres wykonawcy i wartość oferty. W przypadku gdy podczas negocjacji dojdzie do zmiany warunków realizacji zamówienia, zamieszczone zostaną informacje o tych zmianach.</w:t>
      </w:r>
    </w:p>
    <w:p w14:paraId="2EF0E6F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później niż w terminie dwóch tygodni od wyboru wykonawcy zostanie przygotowana i podpisana umowa z wykonawcą.</w:t>
      </w:r>
    </w:p>
    <w:p w14:paraId="6ADA57AB" w14:textId="5A301D7E"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Kierownik ADM informuje wykonawcę o terminie podpisania umowy. W przypadku niepodpisania umowy przez wykonawcę, umowa może zostać podpisana z kolejnym wykonawcą, którego oferta uzyskała status najkorzystniejszej. Warunkiem jest wyrażenie przez tego wykonawcę zgody na realizację zadania zgodnie ze złożoną ofertą oraz dysponowanie odpowiednimi środkami finansowymi przez </w:t>
      </w:r>
      <w:r w:rsidR="00E00B63">
        <w:rPr>
          <w:rFonts w:ascii="Poppins" w:hAnsi="Poppins" w:cs="Poppins"/>
          <w:bCs/>
          <w:sz w:val="18"/>
          <w:szCs w:val="18"/>
        </w:rPr>
        <w:t>Zamawiającego</w:t>
      </w:r>
      <w:r w:rsidRPr="00D4329F">
        <w:rPr>
          <w:rFonts w:ascii="Poppins" w:hAnsi="Poppins" w:cs="Poppins"/>
          <w:bCs/>
          <w:sz w:val="18"/>
          <w:szCs w:val="18"/>
        </w:rPr>
        <w:t>. W przeciwnym wypadku zostanie przeprowadzone nowe postępowanie.</w:t>
      </w:r>
    </w:p>
    <w:p w14:paraId="55621A3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może unieważnić postępowanie w każdym czasie bez podania przyczyn, bądź z ich podaniem, w szczególności w przypadku kiedy najkorzystniejsza oferta będzie wyższa od możliwości finansowych Zamawiającego.</w:t>
      </w:r>
    </w:p>
    <w:p w14:paraId="2F942A10"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Uczestnikom postępowania nie przysługuje prawo do składania jakichkolwiek odwołań.</w:t>
      </w:r>
    </w:p>
    <w:p w14:paraId="621E743D"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 xml:space="preserve"> Zamawiający przewiduje również możliwość zmiany lub odwołania warunków zapytania, stosownie do art. 70</w:t>
      </w:r>
      <w:r w:rsidRPr="00D4329F">
        <w:rPr>
          <w:rFonts w:ascii="Poppins" w:hAnsi="Poppins" w:cs="Poppins"/>
          <w:b/>
          <w:sz w:val="18"/>
          <w:szCs w:val="18"/>
          <w:vertAlign w:val="superscript"/>
        </w:rPr>
        <w:t>1</w:t>
      </w:r>
      <w:r w:rsidRPr="00D4329F">
        <w:rPr>
          <w:rFonts w:ascii="Poppins" w:hAnsi="Poppins" w:cs="Poppins"/>
          <w:b/>
          <w:sz w:val="18"/>
          <w:szCs w:val="18"/>
        </w:rPr>
        <w:t xml:space="preserve"> Kodeksu Cywilnego.</w:t>
      </w:r>
    </w:p>
    <w:p w14:paraId="4E844F83" w14:textId="77777777" w:rsidR="00D4329F" w:rsidRDefault="00D4329F" w:rsidP="00D4329F">
      <w:pPr>
        <w:spacing w:after="0" w:line="240" w:lineRule="auto"/>
        <w:jc w:val="both"/>
        <w:rPr>
          <w:rFonts w:ascii="Poppins" w:hAnsi="Poppins" w:cs="Poppins"/>
          <w:sz w:val="18"/>
          <w:szCs w:val="18"/>
        </w:rPr>
      </w:pPr>
    </w:p>
    <w:p w14:paraId="0DBCFF7F" w14:textId="77777777" w:rsidR="00D4329F" w:rsidRDefault="00D4329F" w:rsidP="00D4329F">
      <w:pPr>
        <w:spacing w:after="0" w:line="240" w:lineRule="auto"/>
        <w:rPr>
          <w:rFonts w:ascii="Poppins" w:hAnsi="Poppins" w:cs="Poppins"/>
          <w:sz w:val="18"/>
          <w:szCs w:val="18"/>
        </w:rPr>
      </w:pPr>
    </w:p>
    <w:p w14:paraId="5AF4E0DA" w14:textId="77777777" w:rsidR="00991C2C" w:rsidRPr="00991C2C" w:rsidRDefault="00991C2C" w:rsidP="00991C2C">
      <w:pPr>
        <w:spacing w:after="0" w:line="240" w:lineRule="auto"/>
        <w:rPr>
          <w:rFonts w:ascii="Poppins" w:hAnsi="Poppins" w:cs="Poppins"/>
          <w:sz w:val="18"/>
          <w:szCs w:val="18"/>
        </w:rPr>
      </w:pPr>
      <w:r>
        <w:rPr>
          <w:rFonts w:ascii="Poppins" w:hAnsi="Poppins" w:cs="Poppins"/>
          <w:sz w:val="18"/>
          <w:szCs w:val="18"/>
        </w:rPr>
        <w:t xml:space="preserve"> </w:t>
      </w:r>
    </w:p>
    <w:p w14:paraId="7F62DF1D"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 xml:space="preserve">Sporządził: </w:t>
      </w:r>
    </w:p>
    <w:p w14:paraId="0F164629"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17.04.2025 r.</w:t>
      </w:r>
    </w:p>
    <w:p w14:paraId="648E58A7"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Z-ca Kierownika ADM-2</w:t>
      </w:r>
    </w:p>
    <w:p w14:paraId="43EBDCA1"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Katarzyna Folińska</w:t>
      </w:r>
    </w:p>
    <w:p w14:paraId="66DD3901" w14:textId="4A7BDDC9" w:rsidR="009A64F8" w:rsidRPr="00D4329F" w:rsidRDefault="009A64F8" w:rsidP="00D4329F">
      <w:pPr>
        <w:spacing w:after="0" w:line="240" w:lineRule="auto"/>
        <w:rPr>
          <w:sz w:val="18"/>
          <w:szCs w:val="18"/>
        </w:rPr>
      </w:pPr>
    </w:p>
    <w:sectPr w:rsidR="009A64F8" w:rsidRPr="00D4329F"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3B97" w14:textId="77777777" w:rsidR="005F7F2D" w:rsidRDefault="005F7F2D">
      <w:pPr>
        <w:spacing w:after="0" w:line="240" w:lineRule="auto"/>
      </w:pPr>
      <w:r>
        <w:separator/>
      </w:r>
    </w:p>
  </w:endnote>
  <w:endnote w:type="continuationSeparator" w:id="0">
    <w:p w14:paraId="461D3C2B" w14:textId="77777777" w:rsidR="005F7F2D" w:rsidRDefault="005F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F008" w14:textId="77777777" w:rsidR="005F7F2D" w:rsidRDefault="005F7F2D">
      <w:pPr>
        <w:spacing w:after="0" w:line="240" w:lineRule="auto"/>
      </w:pPr>
      <w:r>
        <w:separator/>
      </w:r>
    </w:p>
  </w:footnote>
  <w:footnote w:type="continuationSeparator" w:id="0">
    <w:p w14:paraId="0C79D669" w14:textId="77777777" w:rsidR="005F7F2D" w:rsidRDefault="005F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70583"/>
    <w:multiLevelType w:val="hybridMultilevel"/>
    <w:tmpl w:val="316ECE28"/>
    <w:lvl w:ilvl="0" w:tplc="7076E902">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3BA207FD"/>
    <w:multiLevelType w:val="hybridMultilevel"/>
    <w:tmpl w:val="CEDAF986"/>
    <w:lvl w:ilvl="0" w:tplc="35320EE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C6D6616"/>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5BFC12B3"/>
    <w:multiLevelType w:val="hybridMultilevel"/>
    <w:tmpl w:val="50182AB4"/>
    <w:lvl w:ilvl="0" w:tplc="AAA623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6D498B"/>
    <w:multiLevelType w:val="hybridMultilevel"/>
    <w:tmpl w:val="398C17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A486C45"/>
    <w:multiLevelType w:val="hybridMultilevel"/>
    <w:tmpl w:val="6338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054633">
    <w:abstractNumId w:val="0"/>
  </w:num>
  <w:num w:numId="2" w16cid:durableId="822084995">
    <w:abstractNumId w:val="3"/>
  </w:num>
  <w:num w:numId="3" w16cid:durableId="1012801616">
    <w:abstractNumId w:val="1"/>
  </w:num>
  <w:num w:numId="4" w16cid:durableId="1975793720">
    <w:abstractNumId w:val="5"/>
  </w:num>
  <w:num w:numId="5" w16cid:durableId="212011207">
    <w:abstractNumId w:val="2"/>
  </w:num>
  <w:num w:numId="6" w16cid:durableId="799374711">
    <w:abstractNumId w:val="6"/>
  </w:num>
  <w:num w:numId="7" w16cid:durableId="20530695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3224E"/>
    <w:rsid w:val="000E25EC"/>
    <w:rsid w:val="000E6718"/>
    <w:rsid w:val="000F4115"/>
    <w:rsid w:val="00120AE2"/>
    <w:rsid w:val="00166B63"/>
    <w:rsid w:val="00193BA6"/>
    <w:rsid w:val="001E566E"/>
    <w:rsid w:val="00280E04"/>
    <w:rsid w:val="002D2D6B"/>
    <w:rsid w:val="00307FB0"/>
    <w:rsid w:val="00335DD8"/>
    <w:rsid w:val="00350574"/>
    <w:rsid w:val="00384414"/>
    <w:rsid w:val="00417903"/>
    <w:rsid w:val="00417D45"/>
    <w:rsid w:val="00443F55"/>
    <w:rsid w:val="00475C77"/>
    <w:rsid w:val="005127F0"/>
    <w:rsid w:val="0053044F"/>
    <w:rsid w:val="00566C95"/>
    <w:rsid w:val="00575F80"/>
    <w:rsid w:val="005B370B"/>
    <w:rsid w:val="005E4198"/>
    <w:rsid w:val="005F67DD"/>
    <w:rsid w:val="005F7F2D"/>
    <w:rsid w:val="006110B5"/>
    <w:rsid w:val="006332C4"/>
    <w:rsid w:val="006758DC"/>
    <w:rsid w:val="00675F0C"/>
    <w:rsid w:val="00740EAD"/>
    <w:rsid w:val="0075029C"/>
    <w:rsid w:val="00764244"/>
    <w:rsid w:val="00767145"/>
    <w:rsid w:val="007862AD"/>
    <w:rsid w:val="00794D88"/>
    <w:rsid w:val="007A3469"/>
    <w:rsid w:val="007D7FCB"/>
    <w:rsid w:val="00854006"/>
    <w:rsid w:val="008B4A86"/>
    <w:rsid w:val="008E4443"/>
    <w:rsid w:val="009102E6"/>
    <w:rsid w:val="0092452F"/>
    <w:rsid w:val="009539D8"/>
    <w:rsid w:val="00991C2C"/>
    <w:rsid w:val="009A64F8"/>
    <w:rsid w:val="00A34483"/>
    <w:rsid w:val="00A45353"/>
    <w:rsid w:val="00AC57D1"/>
    <w:rsid w:val="00AE00F5"/>
    <w:rsid w:val="00B20EAD"/>
    <w:rsid w:val="00BA75BB"/>
    <w:rsid w:val="00C320CA"/>
    <w:rsid w:val="00C43100"/>
    <w:rsid w:val="00C50634"/>
    <w:rsid w:val="00C7032C"/>
    <w:rsid w:val="00C87792"/>
    <w:rsid w:val="00CB672B"/>
    <w:rsid w:val="00CB734A"/>
    <w:rsid w:val="00D164B9"/>
    <w:rsid w:val="00D4329F"/>
    <w:rsid w:val="00D91E8C"/>
    <w:rsid w:val="00E00B63"/>
    <w:rsid w:val="00E0466D"/>
    <w:rsid w:val="00E203E3"/>
    <w:rsid w:val="00E956D4"/>
    <w:rsid w:val="00EC2D91"/>
    <w:rsid w:val="00ED1223"/>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A64F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A64F8"/>
  </w:style>
  <w:style w:type="paragraph" w:customStyle="1" w:styleId="Akapitzlist1">
    <w:name w:val="Akapit z listą1"/>
    <w:aliases w:val="Eko punkty,podpunkt"/>
    <w:basedOn w:val="Normalny"/>
    <w:link w:val="ListParagraphChar"/>
    <w:qFormat/>
    <w:rsid w:val="009A64F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A64F8"/>
    <w:rPr>
      <w:rFonts w:ascii="Calibri" w:eastAsiaTheme="minorEastAsia" w:hAnsi="Calibri" w:cs="Calibri"/>
      <w:sz w:val="22"/>
      <w:szCs w:val="22"/>
    </w:rPr>
  </w:style>
  <w:style w:type="paragraph" w:styleId="Tekstpodstawowy3">
    <w:name w:val="Body Text 3"/>
    <w:basedOn w:val="Normalny"/>
    <w:link w:val="Tekstpodstawowy3Znak"/>
    <w:unhideWhenUsed/>
    <w:rsid w:val="00C87792"/>
    <w:pPr>
      <w:spacing w:after="120" w:line="240" w:lineRule="auto"/>
    </w:pPr>
    <w:rPr>
      <w:rFonts w:ascii="Arial" w:eastAsia="Times New Roman" w:hAnsi="Arial" w:cs="Times New Roman"/>
      <w:color w:val="000000"/>
      <w:kern w:val="22"/>
      <w:sz w:val="16"/>
      <w:szCs w:val="16"/>
      <w:lang w:val="x-none" w:eastAsia="x-none"/>
    </w:rPr>
  </w:style>
  <w:style w:type="character" w:customStyle="1" w:styleId="Tekstpodstawowy3Znak">
    <w:name w:val="Tekst podstawowy 3 Znak"/>
    <w:basedOn w:val="Domylnaczcionkaakapitu"/>
    <w:link w:val="Tekstpodstawowy3"/>
    <w:rsid w:val="00C87792"/>
    <w:rPr>
      <w:rFonts w:ascii="Arial" w:eastAsia="Times New Roman" w:hAnsi="Arial" w:cs="Times New Roman"/>
      <w:color w:val="000000"/>
      <w:kern w:val="2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4646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Katarzyna Folińska</cp:lastModifiedBy>
  <cp:revision>2</cp:revision>
  <cp:lastPrinted>2024-12-06T11:15:00Z</cp:lastPrinted>
  <dcterms:created xsi:type="dcterms:W3CDTF">2025-04-17T12:18:00Z</dcterms:created>
  <dcterms:modified xsi:type="dcterms:W3CDTF">2025-04-17T12:18:00Z</dcterms:modified>
</cp:coreProperties>
</file>