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177" w:rsidRDefault="00564177" w:rsidP="00756DC2">
      <w:pPr>
        <w:pStyle w:val="Tytu"/>
        <w:jc w:val="both"/>
        <w:rPr>
          <w:spacing w:val="-2"/>
        </w:rPr>
      </w:pPr>
      <w:r>
        <w:rPr>
          <w:spacing w:val="-2"/>
        </w:rPr>
        <w:t>Załącznik nr 1 do SWZ</w:t>
      </w:r>
    </w:p>
    <w:p w:rsidR="00564177" w:rsidRDefault="00564177" w:rsidP="00756DC2">
      <w:pPr>
        <w:pStyle w:val="Tytu"/>
        <w:jc w:val="both"/>
        <w:rPr>
          <w:spacing w:val="-2"/>
        </w:rPr>
      </w:pPr>
    </w:p>
    <w:p w:rsidR="00E75D61" w:rsidRDefault="00E75D61" w:rsidP="00756DC2">
      <w:pPr>
        <w:pStyle w:val="Tytu"/>
        <w:jc w:val="both"/>
        <w:rPr>
          <w:spacing w:val="-2"/>
        </w:rPr>
      </w:pPr>
      <w:r>
        <w:rPr>
          <w:spacing w:val="-2"/>
        </w:rPr>
        <w:t>Przepompownia Bieganowo</w:t>
      </w:r>
    </w:p>
    <w:p w:rsidR="00050598" w:rsidRDefault="00E75D61" w:rsidP="00756DC2">
      <w:pPr>
        <w:pStyle w:val="Tytu"/>
        <w:jc w:val="both"/>
      </w:pPr>
      <w:r>
        <w:rPr>
          <w:spacing w:val="-2"/>
        </w:rPr>
        <w:t>Parametry techniczne pomp (x2szt.):</w:t>
      </w:r>
    </w:p>
    <w:p w:rsidR="00050598" w:rsidRDefault="00E75D61" w:rsidP="00756DC2">
      <w:pPr>
        <w:pStyle w:val="Tekstpodstawowy"/>
        <w:jc w:val="both"/>
      </w:pPr>
      <w:r>
        <w:rPr>
          <w:spacing w:val="-4"/>
        </w:rPr>
        <w:t>Wydajność nie mniej niż Q=14,7m3/h i wysokość podnoszenia nie mniej niż H=25,8m</w:t>
      </w:r>
    </w:p>
    <w:p w:rsidR="00050598" w:rsidRDefault="00E75D61" w:rsidP="00756DC2">
      <w:pPr>
        <w:pStyle w:val="Tekstpodstawowy"/>
        <w:jc w:val="both"/>
      </w:pPr>
      <w:r>
        <w:t xml:space="preserve">Typ wirnika Hortex </w:t>
      </w:r>
      <w:proofErr w:type="spellStart"/>
      <w:r>
        <w:rPr>
          <w:spacing w:val="-2"/>
        </w:rPr>
        <w:t>special</w:t>
      </w:r>
      <w:proofErr w:type="spellEnd"/>
    </w:p>
    <w:p w:rsidR="00050598" w:rsidRDefault="00E75D61" w:rsidP="00756DC2">
      <w:pPr>
        <w:pStyle w:val="Akapitzlist"/>
        <w:numPr>
          <w:ilvl w:val="0"/>
          <w:numId w:val="1"/>
        </w:numPr>
        <w:tabs>
          <w:tab w:val="left" w:pos="333"/>
        </w:tabs>
        <w:ind w:left="333" w:hanging="117"/>
        <w:jc w:val="both"/>
      </w:pPr>
      <w:r>
        <w:t xml:space="preserve">Swobodny przelot minimum </w:t>
      </w:r>
      <w:r>
        <w:rPr>
          <w:spacing w:val="-4"/>
        </w:rPr>
        <w:t>65mm</w:t>
      </w:r>
    </w:p>
    <w:p w:rsidR="00050598" w:rsidRDefault="00E75D61" w:rsidP="00756DC2">
      <w:pPr>
        <w:pStyle w:val="Akapitzlist"/>
        <w:numPr>
          <w:ilvl w:val="0"/>
          <w:numId w:val="1"/>
        </w:numPr>
        <w:tabs>
          <w:tab w:val="left" w:pos="333"/>
        </w:tabs>
        <w:spacing w:before="183"/>
        <w:ind w:left="333" w:hanging="117"/>
        <w:jc w:val="both"/>
      </w:pPr>
      <w:r>
        <w:rPr>
          <w:spacing w:val="-2"/>
        </w:rPr>
        <w:t>Uszczelnienie pompy minimum dwa pojedyncze mechaniczne SIC/SIC niezależne od kierunku</w:t>
      </w:r>
    </w:p>
    <w:p w:rsidR="00050598" w:rsidRDefault="00E75D61" w:rsidP="00756DC2">
      <w:pPr>
        <w:pStyle w:val="Tekstpodstawowy"/>
        <w:spacing w:before="17"/>
        <w:jc w:val="both"/>
      </w:pPr>
      <w:r>
        <w:rPr>
          <w:spacing w:val="-2"/>
        </w:rPr>
        <w:t>obrotów,</w:t>
      </w:r>
    </w:p>
    <w:p w:rsidR="00050598" w:rsidRDefault="00E75D61" w:rsidP="00756DC2">
      <w:pPr>
        <w:pStyle w:val="Akapitzlist"/>
        <w:numPr>
          <w:ilvl w:val="0"/>
          <w:numId w:val="1"/>
        </w:numPr>
        <w:tabs>
          <w:tab w:val="left" w:pos="333"/>
        </w:tabs>
        <w:spacing w:before="201"/>
        <w:ind w:left="333" w:hanging="117"/>
        <w:jc w:val="both"/>
      </w:pPr>
      <w:r>
        <w:rPr>
          <w:spacing w:val="-4"/>
        </w:rPr>
        <w:t>Rodzaj rozruchu soft start</w:t>
      </w:r>
    </w:p>
    <w:p w:rsidR="00050598" w:rsidRDefault="00E75D61" w:rsidP="00756DC2">
      <w:pPr>
        <w:pStyle w:val="Akapitzlist"/>
        <w:numPr>
          <w:ilvl w:val="0"/>
          <w:numId w:val="1"/>
        </w:numPr>
        <w:tabs>
          <w:tab w:val="left" w:pos="381"/>
        </w:tabs>
        <w:spacing w:before="200"/>
        <w:ind w:left="381" w:hanging="165"/>
        <w:jc w:val="both"/>
      </w:pPr>
      <w:r>
        <w:rPr>
          <w:spacing w:val="-2"/>
        </w:rPr>
        <w:t>Prowadnice do wyciągania pomp dwururowe ze stali 1.4301</w:t>
      </w:r>
    </w:p>
    <w:p w:rsidR="00050598" w:rsidRDefault="00050598" w:rsidP="00756DC2">
      <w:pPr>
        <w:pStyle w:val="Tekstpodstawowy"/>
        <w:spacing w:before="34"/>
        <w:ind w:left="0"/>
        <w:jc w:val="both"/>
      </w:pPr>
    </w:p>
    <w:p w:rsidR="00050598" w:rsidRDefault="00E75D61" w:rsidP="00756DC2">
      <w:pPr>
        <w:pStyle w:val="Tekstpodstawowy"/>
        <w:spacing w:before="0"/>
        <w:jc w:val="both"/>
      </w:pPr>
      <w:r>
        <w:rPr>
          <w:spacing w:val="-2"/>
        </w:rPr>
        <w:t xml:space="preserve">Wykonanie materiałowe </w:t>
      </w:r>
      <w:r>
        <w:rPr>
          <w:spacing w:val="-4"/>
        </w:rPr>
        <w:t>pomp:</w:t>
      </w:r>
    </w:p>
    <w:p w:rsidR="00050598" w:rsidRDefault="00E75D61" w:rsidP="00756DC2">
      <w:pPr>
        <w:pStyle w:val="Tekstpodstawowy"/>
        <w:numPr>
          <w:ilvl w:val="0"/>
          <w:numId w:val="2"/>
        </w:numPr>
        <w:spacing w:before="200"/>
        <w:jc w:val="both"/>
      </w:pPr>
      <w:r>
        <w:t xml:space="preserve">Korpus pompy z żeliwa wysokochromowego </w:t>
      </w:r>
      <w:r>
        <w:rPr>
          <w:spacing w:val="-2"/>
        </w:rPr>
        <w:t>ZbCr32,</w:t>
      </w:r>
    </w:p>
    <w:p w:rsidR="00050598" w:rsidRDefault="00E75D61" w:rsidP="00756DC2">
      <w:pPr>
        <w:pStyle w:val="Tekstpodstawowy"/>
        <w:numPr>
          <w:ilvl w:val="0"/>
          <w:numId w:val="2"/>
        </w:numPr>
        <w:jc w:val="both"/>
      </w:pPr>
      <w:r>
        <w:t xml:space="preserve">Wirnik z żeliwa wysokochromowego </w:t>
      </w:r>
      <w:r>
        <w:rPr>
          <w:spacing w:val="-2"/>
        </w:rPr>
        <w:t>ZbCr32,</w:t>
      </w:r>
      <w:bookmarkStart w:id="0" w:name="_GoBack"/>
      <w:bookmarkEnd w:id="0"/>
    </w:p>
    <w:p w:rsidR="00050598" w:rsidRDefault="00E75D61" w:rsidP="00756DC2">
      <w:pPr>
        <w:pStyle w:val="Tekstpodstawowy"/>
        <w:numPr>
          <w:ilvl w:val="0"/>
          <w:numId w:val="2"/>
        </w:numPr>
        <w:spacing w:before="180"/>
        <w:jc w:val="both"/>
      </w:pPr>
      <w:r>
        <w:t>Korpus silnika żeliwo szare EN-GJL-</w:t>
      </w:r>
      <w:r>
        <w:rPr>
          <w:spacing w:val="-5"/>
        </w:rPr>
        <w:t>250</w:t>
      </w:r>
    </w:p>
    <w:p w:rsidR="00050598" w:rsidRDefault="00E75D61" w:rsidP="00756DC2">
      <w:pPr>
        <w:pStyle w:val="Tekstpodstawowy"/>
        <w:numPr>
          <w:ilvl w:val="0"/>
          <w:numId w:val="2"/>
        </w:numPr>
        <w:spacing w:before="180"/>
        <w:jc w:val="both"/>
      </w:pPr>
      <w:r>
        <w:t xml:space="preserve">Wał pompy stal nierdzewna </w:t>
      </w:r>
      <w:r>
        <w:rPr>
          <w:spacing w:val="-2"/>
        </w:rPr>
        <w:t>AISI420</w:t>
      </w:r>
    </w:p>
    <w:p w:rsidR="00050598" w:rsidRDefault="00E75D61" w:rsidP="00756DC2">
      <w:pPr>
        <w:pStyle w:val="Tekstpodstawowy"/>
        <w:numPr>
          <w:ilvl w:val="0"/>
          <w:numId w:val="2"/>
        </w:numPr>
        <w:jc w:val="both"/>
      </w:pPr>
      <w:r>
        <w:t xml:space="preserve">Dławica kablowa mosiądz </w:t>
      </w:r>
      <w:r>
        <w:rPr>
          <w:spacing w:val="-2"/>
        </w:rPr>
        <w:t>niklowany</w:t>
      </w:r>
    </w:p>
    <w:p w:rsidR="00050598" w:rsidRDefault="00050598" w:rsidP="00756DC2">
      <w:pPr>
        <w:pStyle w:val="Tekstpodstawowy"/>
        <w:spacing w:before="0"/>
        <w:ind w:left="0"/>
        <w:jc w:val="both"/>
      </w:pPr>
    </w:p>
    <w:p w:rsidR="00050598" w:rsidRDefault="00050598" w:rsidP="00756DC2">
      <w:pPr>
        <w:pStyle w:val="Tekstpodstawowy"/>
        <w:spacing w:before="3"/>
        <w:ind w:left="0"/>
        <w:jc w:val="both"/>
      </w:pPr>
    </w:p>
    <w:p w:rsidR="00050598" w:rsidRDefault="00E75D61" w:rsidP="00756DC2">
      <w:pPr>
        <w:pStyle w:val="Tekstpodstawowy"/>
        <w:spacing w:before="0" w:line="237" w:lineRule="auto"/>
        <w:ind w:left="101"/>
        <w:jc w:val="both"/>
      </w:pPr>
      <w:r>
        <w:t>Pompy zastosowane w pompowni ścieków powinny posiadać typową, tradycyjną konstrukcję pompy wirowej, opartą na standardowych (handlowych) częściach zamiennych. Dostępność części</w:t>
      </w:r>
    </w:p>
    <w:p w:rsidR="00050598" w:rsidRDefault="00E75D61" w:rsidP="00756DC2">
      <w:pPr>
        <w:pStyle w:val="Tekstpodstawowy"/>
        <w:spacing w:before="1"/>
        <w:ind w:left="101"/>
        <w:jc w:val="both"/>
      </w:pPr>
      <w:r>
        <w:t>Zamiennych jest gwarantowana nie tylko przez bezpośredni kontakt z producentem pompowni,</w:t>
      </w:r>
      <w:r>
        <w:rPr>
          <w:spacing w:val="-5"/>
        </w:rPr>
        <w:t xml:space="preserve"> ale</w:t>
      </w:r>
    </w:p>
    <w:p w:rsidR="00050598" w:rsidRDefault="00E75D61" w:rsidP="00756DC2">
      <w:pPr>
        <w:pStyle w:val="Tekstpodstawowy"/>
        <w:spacing w:before="1"/>
        <w:ind w:left="101"/>
        <w:jc w:val="both"/>
      </w:pPr>
      <w:r>
        <w:t xml:space="preserve">Również przez sieć punktów serwisowych i dystrybucyjnych rozmieszczonych w całym </w:t>
      </w:r>
      <w:r>
        <w:rPr>
          <w:spacing w:val="-2"/>
        </w:rPr>
        <w:t>kraju.</w:t>
      </w:r>
    </w:p>
    <w:p w:rsidR="00050598" w:rsidRDefault="00E75D61" w:rsidP="00756DC2">
      <w:pPr>
        <w:pStyle w:val="Tekstpodstawowy"/>
        <w:spacing w:before="0"/>
        <w:ind w:left="101" w:right="19"/>
        <w:jc w:val="both"/>
      </w:pPr>
      <w:r>
        <w:t>Wirniki pomp zabezpieczone specjalną powłoką antyadhezyjną, która znacznie zwiększa odporność wirników na ścieranie, a także zabezpiecza przed przyleganiem do jego powierzchni części stałych, przez co wydłuża żywotność pompy oraz zapewnia wysoką sprawność pracy agregatu w całym okresie jego eksploatacji.</w:t>
      </w:r>
    </w:p>
    <w:sectPr w:rsidR="00050598" w:rsidSect="00050598">
      <w:type w:val="continuous"/>
      <w:pgSz w:w="11920" w:h="16850"/>
      <w:pgMar w:top="1360" w:right="140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B68A2"/>
    <w:multiLevelType w:val="hybridMultilevel"/>
    <w:tmpl w:val="B746A63E"/>
    <w:lvl w:ilvl="0" w:tplc="041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 w15:restartNumberingAfterBreak="0">
    <w:nsid w:val="681B237E"/>
    <w:multiLevelType w:val="hybridMultilevel"/>
    <w:tmpl w:val="A24A7260"/>
    <w:lvl w:ilvl="0" w:tplc="4D78575E">
      <w:numFmt w:val="bullet"/>
      <w:lvlText w:val="-"/>
      <w:lvlJc w:val="left"/>
      <w:pPr>
        <w:ind w:left="334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372AE40">
      <w:numFmt w:val="bullet"/>
      <w:lvlText w:val="•"/>
      <w:lvlJc w:val="left"/>
      <w:pPr>
        <w:ind w:left="1237" w:hanging="118"/>
      </w:pPr>
      <w:rPr>
        <w:rFonts w:hint="default"/>
        <w:lang w:val="pl-PL" w:eastAsia="en-US" w:bidi="ar-SA"/>
      </w:rPr>
    </w:lvl>
    <w:lvl w:ilvl="2" w:tplc="833C12D0">
      <w:numFmt w:val="bullet"/>
      <w:lvlText w:val="•"/>
      <w:lvlJc w:val="left"/>
      <w:pPr>
        <w:ind w:left="2134" w:hanging="118"/>
      </w:pPr>
      <w:rPr>
        <w:rFonts w:hint="default"/>
        <w:lang w:val="pl-PL" w:eastAsia="en-US" w:bidi="ar-SA"/>
      </w:rPr>
    </w:lvl>
    <w:lvl w:ilvl="3" w:tplc="30243DDA">
      <w:numFmt w:val="bullet"/>
      <w:lvlText w:val="•"/>
      <w:lvlJc w:val="left"/>
      <w:pPr>
        <w:ind w:left="3031" w:hanging="118"/>
      </w:pPr>
      <w:rPr>
        <w:rFonts w:hint="default"/>
        <w:lang w:val="pl-PL" w:eastAsia="en-US" w:bidi="ar-SA"/>
      </w:rPr>
    </w:lvl>
    <w:lvl w:ilvl="4" w:tplc="3A2AD4FA">
      <w:numFmt w:val="bullet"/>
      <w:lvlText w:val="•"/>
      <w:lvlJc w:val="left"/>
      <w:pPr>
        <w:ind w:left="3928" w:hanging="118"/>
      </w:pPr>
      <w:rPr>
        <w:rFonts w:hint="default"/>
        <w:lang w:val="pl-PL" w:eastAsia="en-US" w:bidi="ar-SA"/>
      </w:rPr>
    </w:lvl>
    <w:lvl w:ilvl="5" w:tplc="0E02D310">
      <w:numFmt w:val="bullet"/>
      <w:lvlText w:val="•"/>
      <w:lvlJc w:val="left"/>
      <w:pPr>
        <w:ind w:left="4825" w:hanging="118"/>
      </w:pPr>
      <w:rPr>
        <w:rFonts w:hint="default"/>
        <w:lang w:val="pl-PL" w:eastAsia="en-US" w:bidi="ar-SA"/>
      </w:rPr>
    </w:lvl>
    <w:lvl w:ilvl="6" w:tplc="94E46430">
      <w:numFmt w:val="bullet"/>
      <w:lvlText w:val="•"/>
      <w:lvlJc w:val="left"/>
      <w:pPr>
        <w:ind w:left="5722" w:hanging="118"/>
      </w:pPr>
      <w:rPr>
        <w:rFonts w:hint="default"/>
        <w:lang w:val="pl-PL" w:eastAsia="en-US" w:bidi="ar-SA"/>
      </w:rPr>
    </w:lvl>
    <w:lvl w:ilvl="7" w:tplc="0DB2D5BA">
      <w:numFmt w:val="bullet"/>
      <w:lvlText w:val="•"/>
      <w:lvlJc w:val="left"/>
      <w:pPr>
        <w:ind w:left="6619" w:hanging="118"/>
      </w:pPr>
      <w:rPr>
        <w:rFonts w:hint="default"/>
        <w:lang w:val="pl-PL" w:eastAsia="en-US" w:bidi="ar-SA"/>
      </w:rPr>
    </w:lvl>
    <w:lvl w:ilvl="8" w:tplc="D5F6E28C">
      <w:numFmt w:val="bullet"/>
      <w:lvlText w:val="•"/>
      <w:lvlJc w:val="left"/>
      <w:pPr>
        <w:ind w:left="7516" w:hanging="118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98"/>
    <w:rsid w:val="00050598"/>
    <w:rsid w:val="00564177"/>
    <w:rsid w:val="00756DC2"/>
    <w:rsid w:val="00E75D61"/>
    <w:rsid w:val="00FE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F44B3-2B34-4E8C-97BF-52ED40FD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050598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05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50598"/>
    <w:pPr>
      <w:spacing w:before="183"/>
      <w:ind w:left="216"/>
    </w:pPr>
  </w:style>
  <w:style w:type="paragraph" w:styleId="Tytu">
    <w:name w:val="Title"/>
    <w:basedOn w:val="Normalny"/>
    <w:uiPriority w:val="1"/>
    <w:qFormat/>
    <w:rsid w:val="00050598"/>
    <w:pPr>
      <w:spacing w:before="35"/>
      <w:ind w:left="216"/>
    </w:pPr>
    <w:rPr>
      <w:b/>
      <w:bCs/>
    </w:rPr>
  </w:style>
  <w:style w:type="paragraph" w:styleId="Akapitzlist">
    <w:name w:val="List Paragraph"/>
    <w:basedOn w:val="Normalny"/>
    <w:uiPriority w:val="1"/>
    <w:qFormat/>
    <w:rsid w:val="00050598"/>
    <w:pPr>
      <w:spacing w:before="180"/>
      <w:ind w:left="333" w:hanging="117"/>
    </w:pPr>
  </w:style>
  <w:style w:type="paragraph" w:customStyle="1" w:styleId="TableParagraph">
    <w:name w:val="Table Paragraph"/>
    <w:basedOn w:val="Normalny"/>
    <w:uiPriority w:val="1"/>
    <w:qFormat/>
    <w:rsid w:val="00050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Hydro -Vacuum</dc:creator>
  <cp:lastModifiedBy>Dariusz Leszczyński</cp:lastModifiedBy>
  <cp:revision>4</cp:revision>
  <dcterms:created xsi:type="dcterms:W3CDTF">2025-03-03T10:50:00Z</dcterms:created>
  <dcterms:modified xsi:type="dcterms:W3CDTF">2025-03-03T10:52:00Z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2025-03-03T00:00:00Z</vt:filetime>
  </property>
  <property fmtid="{D5CDD505-2E9C-101B-9397-08002B2CF9AE}" pid="5" name="Producer">
    <vt:lpwstr>Microsoft® Word 2019</vt:lpwstr>
  </property>
</Properties>
</file>