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A111A" w14:textId="55F8B7F8" w:rsidR="0019239A" w:rsidRPr="008A65D0" w:rsidRDefault="0019239A" w:rsidP="0019239A">
      <w:pPr>
        <w:spacing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8A65D0">
        <w:rPr>
          <w:rFonts w:ascii="Times New Roman" w:hAnsi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/>
          <w:b/>
          <w:bCs/>
          <w:sz w:val="24"/>
          <w:szCs w:val="24"/>
        </w:rPr>
        <w:t xml:space="preserve">NR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BD7">
        <w:rPr>
          <w:rFonts w:ascii="Times New Roman" w:hAnsi="Times New Roman"/>
          <w:b/>
          <w:bCs/>
          <w:sz w:val="24"/>
          <w:szCs w:val="24"/>
        </w:rPr>
        <w:t>DO UMOWY</w:t>
      </w:r>
    </w:p>
    <w:p w14:paraId="6ED77B82" w14:textId="77777777" w:rsidR="0019239A" w:rsidRDefault="0019239A" w:rsidP="009F326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DDA0162" w14:textId="43812797" w:rsidR="00F86862" w:rsidRPr="00DF373D" w:rsidRDefault="0019239A" w:rsidP="009F326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WARUNKI </w:t>
      </w:r>
      <w:r w:rsidR="00F86862" w:rsidRPr="00DF373D">
        <w:rPr>
          <w:rFonts w:ascii="Times New Roman" w:hAnsi="Times New Roman"/>
          <w:b/>
        </w:rPr>
        <w:t xml:space="preserve">UBEZPIECZENIA </w:t>
      </w:r>
    </w:p>
    <w:p w14:paraId="5F73ED08" w14:textId="77777777" w:rsidR="00AE0623" w:rsidRPr="00DF373D" w:rsidRDefault="00AE0623" w:rsidP="009F326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FC609EE" w14:textId="77777777" w:rsidR="006731C7" w:rsidRPr="00DF373D" w:rsidRDefault="006731C7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DF373D">
        <w:rPr>
          <w:rFonts w:ascii="Times New Roman" w:hAnsi="Times New Roman"/>
          <w:sz w:val="22"/>
          <w:szCs w:val="22"/>
        </w:rPr>
        <w:t>Zamawiający nie ponosi odpowiedzialności za majątek Wykonawcy, majątek osób trzecich znajdujący się na terenie realizacji przedmiotu zamówienia.</w:t>
      </w:r>
    </w:p>
    <w:p w14:paraId="7D59436A" w14:textId="68062E3C" w:rsidR="007754E5" w:rsidRPr="00DF373D" w:rsidRDefault="00660D3A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DF373D">
        <w:rPr>
          <w:rFonts w:ascii="Times New Roman" w:hAnsi="Times New Roman"/>
          <w:sz w:val="22"/>
          <w:szCs w:val="22"/>
        </w:rPr>
        <w:t>Wykonawca ponosi odpowiedzialność za wszelkie szkody powstałe w związku z prowadzoną przez Wykonawcę działalnością, wyrządzone przez niego, jego pracowników lub kontrahentów,</w:t>
      </w:r>
      <w:r w:rsidR="00505106" w:rsidRPr="00DF373D">
        <w:rPr>
          <w:rFonts w:ascii="Times New Roman" w:hAnsi="Times New Roman"/>
          <w:sz w:val="22"/>
          <w:szCs w:val="22"/>
        </w:rPr>
        <w:t xml:space="preserve"> dostawców, podwykonawców.</w:t>
      </w:r>
    </w:p>
    <w:p w14:paraId="541F3458" w14:textId="77777777" w:rsidR="0089031F" w:rsidRDefault="00660D3A" w:rsidP="0089031F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DF373D">
        <w:rPr>
          <w:rFonts w:ascii="Times New Roman" w:hAnsi="Times New Roman"/>
          <w:sz w:val="22"/>
          <w:szCs w:val="22"/>
        </w:rPr>
        <w:t xml:space="preserve">Wykonawca zobowiązany jest do zawarcia i utrzymywania przez cały czas obowiązywania umowy, </w:t>
      </w:r>
      <w:r w:rsidR="00270621" w:rsidRPr="00DF373D">
        <w:rPr>
          <w:rFonts w:ascii="Times New Roman" w:eastAsia="Calibri" w:hAnsi="Times New Roman"/>
          <w:sz w:val="22"/>
          <w:szCs w:val="22"/>
        </w:rPr>
        <w:t>niżej wymienionych umów ubezpieczenia</w:t>
      </w:r>
      <w:r w:rsidR="0089031F">
        <w:rPr>
          <w:rFonts w:ascii="Times New Roman" w:hAnsi="Times New Roman"/>
          <w:sz w:val="22"/>
          <w:szCs w:val="22"/>
        </w:rPr>
        <w:t xml:space="preserve">, </w:t>
      </w:r>
      <w:r w:rsidR="00741866" w:rsidRPr="0089031F">
        <w:rPr>
          <w:rFonts w:ascii="Times New Roman" w:hAnsi="Times New Roman"/>
          <w:sz w:val="22"/>
          <w:szCs w:val="22"/>
        </w:rPr>
        <w:t>u</w:t>
      </w:r>
      <w:r w:rsidR="001F7A75" w:rsidRPr="0089031F">
        <w:rPr>
          <w:rFonts w:ascii="Times New Roman" w:hAnsi="Times New Roman"/>
          <w:sz w:val="22"/>
          <w:szCs w:val="22"/>
        </w:rPr>
        <w:t>mowy ubezpieczenia odpowiedzialności cywilnej z tytułu prowadzonej działalności</w:t>
      </w:r>
      <w:r w:rsidR="00741866" w:rsidRPr="0089031F">
        <w:rPr>
          <w:rFonts w:ascii="Times New Roman" w:hAnsi="Times New Roman"/>
          <w:sz w:val="22"/>
          <w:szCs w:val="22"/>
        </w:rPr>
        <w:t xml:space="preserve"> gospodarczej i posiadania mienia,</w:t>
      </w:r>
      <w:r w:rsidR="001F7A75" w:rsidRPr="0089031F">
        <w:rPr>
          <w:rFonts w:ascii="Times New Roman" w:hAnsi="Times New Roman"/>
          <w:sz w:val="22"/>
          <w:szCs w:val="22"/>
        </w:rPr>
        <w:t xml:space="preserve"> będącej przedmiotem </w:t>
      </w:r>
      <w:r w:rsidR="00741866" w:rsidRPr="0089031F">
        <w:rPr>
          <w:rFonts w:ascii="Times New Roman" w:hAnsi="Times New Roman"/>
          <w:sz w:val="22"/>
          <w:szCs w:val="22"/>
        </w:rPr>
        <w:t>zamówienia</w:t>
      </w:r>
      <w:r w:rsidR="001F7A75" w:rsidRPr="0089031F">
        <w:rPr>
          <w:rFonts w:ascii="Times New Roman" w:hAnsi="Times New Roman"/>
          <w:sz w:val="22"/>
          <w:szCs w:val="22"/>
        </w:rPr>
        <w:t xml:space="preserve"> zgodnie z wymogami opisanymi poniżej,</w:t>
      </w:r>
    </w:p>
    <w:p w14:paraId="7105F288" w14:textId="71188124" w:rsidR="007754E5" w:rsidRPr="0089031F" w:rsidRDefault="00660D3A" w:rsidP="0089031F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89031F">
        <w:rPr>
          <w:rFonts w:ascii="Times New Roman" w:hAnsi="Times New Roman"/>
          <w:sz w:val="22"/>
          <w:szCs w:val="22"/>
        </w:rPr>
        <w:t xml:space="preserve">Umowa ubezpieczenia odpowiedzialności cywilnej z tytułu prowadzonej działalności Wykonawcy </w:t>
      </w:r>
      <w:r w:rsidR="00475507" w:rsidRPr="0089031F">
        <w:rPr>
          <w:rFonts w:ascii="Times New Roman" w:eastAsia="Calibri" w:hAnsi="Times New Roman"/>
          <w:sz w:val="22"/>
          <w:szCs w:val="22"/>
        </w:rPr>
        <w:t>obejmować winna swoim zakresem</w:t>
      </w:r>
      <w:r w:rsidRPr="0089031F">
        <w:rPr>
          <w:rFonts w:ascii="Times New Roman" w:hAnsi="Times New Roman"/>
          <w:sz w:val="22"/>
          <w:szCs w:val="22"/>
        </w:rPr>
        <w:t>:</w:t>
      </w:r>
    </w:p>
    <w:p w14:paraId="4D1C1A69" w14:textId="5A436BB1" w:rsidR="006731C7" w:rsidRPr="00DF373D" w:rsidRDefault="006731C7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 xml:space="preserve">sumę gwarancyjną nie niższą niż </w:t>
      </w:r>
      <w:r w:rsidR="0089031F">
        <w:rPr>
          <w:rFonts w:ascii="Times New Roman" w:hAnsi="Times New Roman"/>
          <w:color w:val="auto"/>
          <w:sz w:val="22"/>
          <w:szCs w:val="22"/>
        </w:rPr>
        <w:t>3</w:t>
      </w:r>
      <w:r w:rsidR="001F7A75" w:rsidRPr="00DF373D">
        <w:rPr>
          <w:rFonts w:ascii="Times New Roman" w:hAnsi="Times New Roman"/>
          <w:color w:val="auto"/>
          <w:sz w:val="22"/>
          <w:szCs w:val="22"/>
        </w:rPr>
        <w:t xml:space="preserve"> 000 000 </w:t>
      </w:r>
      <w:r w:rsidRPr="00DF373D">
        <w:rPr>
          <w:rFonts w:ascii="Times New Roman" w:hAnsi="Times New Roman"/>
          <w:color w:val="auto"/>
          <w:sz w:val="22"/>
          <w:szCs w:val="22"/>
        </w:rPr>
        <w:t xml:space="preserve">zł (słownie: </w:t>
      </w:r>
      <w:r w:rsidR="0089031F">
        <w:rPr>
          <w:rFonts w:ascii="Times New Roman" w:hAnsi="Times New Roman"/>
          <w:color w:val="auto"/>
          <w:sz w:val="22"/>
          <w:szCs w:val="22"/>
        </w:rPr>
        <w:t>trzy</w:t>
      </w:r>
      <w:r w:rsidR="001F7A75" w:rsidRPr="00DF373D">
        <w:rPr>
          <w:rFonts w:ascii="Times New Roman" w:hAnsi="Times New Roman"/>
          <w:color w:val="auto"/>
          <w:sz w:val="22"/>
          <w:szCs w:val="22"/>
        </w:rPr>
        <w:t xml:space="preserve"> milion</w:t>
      </w:r>
      <w:r w:rsidR="0089031F">
        <w:rPr>
          <w:rFonts w:ascii="Times New Roman" w:hAnsi="Times New Roman"/>
          <w:color w:val="auto"/>
          <w:sz w:val="22"/>
          <w:szCs w:val="22"/>
        </w:rPr>
        <w:t>y</w:t>
      </w:r>
      <w:r w:rsidRPr="00DF373D">
        <w:rPr>
          <w:rFonts w:ascii="Times New Roman" w:hAnsi="Times New Roman"/>
          <w:color w:val="auto"/>
          <w:sz w:val="22"/>
          <w:szCs w:val="22"/>
        </w:rPr>
        <w:t xml:space="preserve"> 00/100) złotych na jedno i na wszystkie zdarzenia w okresie ubezpieczenia;</w:t>
      </w:r>
    </w:p>
    <w:p w14:paraId="4A2E0AFB" w14:textId="46651E49" w:rsidR="006731C7" w:rsidRPr="00DF373D" w:rsidRDefault="006731C7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 xml:space="preserve">działalność prowadzoną przez </w:t>
      </w:r>
      <w:r w:rsidR="001F7A75" w:rsidRPr="00DF373D">
        <w:rPr>
          <w:rFonts w:ascii="Times New Roman" w:hAnsi="Times New Roman"/>
          <w:color w:val="auto"/>
          <w:sz w:val="22"/>
          <w:szCs w:val="22"/>
        </w:rPr>
        <w:t>Wykonawcę</w:t>
      </w:r>
      <w:r w:rsidRPr="00DF373D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1F7A75" w:rsidRPr="00DF373D">
        <w:rPr>
          <w:rFonts w:ascii="Times New Roman" w:hAnsi="Times New Roman"/>
          <w:color w:val="auto"/>
          <w:sz w:val="22"/>
          <w:szCs w:val="22"/>
        </w:rPr>
        <w:t>będącą przedmiotem realizacji przedmiotu zamówienia;</w:t>
      </w:r>
    </w:p>
    <w:p w14:paraId="4FAB870A" w14:textId="7B14E744" w:rsidR="006731C7" w:rsidRPr="00DF373D" w:rsidRDefault="006731C7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 xml:space="preserve">zarówno odpowiedzialność deliktową jak i kontraktową </w:t>
      </w:r>
      <w:bookmarkStart w:id="0" w:name="_Hlk63081630"/>
      <w:r w:rsidRPr="00DF373D">
        <w:rPr>
          <w:rFonts w:ascii="Times New Roman" w:hAnsi="Times New Roman"/>
          <w:color w:val="auto"/>
          <w:sz w:val="22"/>
          <w:szCs w:val="22"/>
        </w:rPr>
        <w:t>do wysokości ogólnej sumy gwarancyjnej na jedno i wszystkie zdarzenia w okresie ubezpieczenia</w:t>
      </w:r>
      <w:bookmarkEnd w:id="0"/>
      <w:r w:rsidRPr="00DF373D">
        <w:rPr>
          <w:rFonts w:ascii="Times New Roman" w:hAnsi="Times New Roman"/>
          <w:color w:val="auto"/>
          <w:sz w:val="22"/>
          <w:szCs w:val="22"/>
        </w:rPr>
        <w:t>;</w:t>
      </w:r>
    </w:p>
    <w:p w14:paraId="0C364A30" w14:textId="7D21B44F" w:rsidR="00345403" w:rsidRPr="00DF373D" w:rsidRDefault="00345403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>odpowiedzialność cywilną za szkody osobowe i rzeczowe oraz z konsekwentnymi stratami finansowymi</w:t>
      </w:r>
      <w:r w:rsidR="00DB0CFD" w:rsidRPr="00DF373D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DF373D">
        <w:rPr>
          <w:rFonts w:ascii="Times New Roman" w:hAnsi="Times New Roman"/>
          <w:color w:val="auto"/>
          <w:sz w:val="22"/>
          <w:szCs w:val="22"/>
        </w:rPr>
        <w:t>pod warunkiem, że wypadek ubezpieczeniowy miał miejsce w okresie ubezpieczenia, nawet jeżeli zostaną one zgłoszone po tym okresie, jednak przed upływem terminu przedawnienia, do wysokości ogólnej sumy gwarancyjnej na jedno i wszystkie zdarzenia w okresie ubezpieczenia</w:t>
      </w:r>
      <w:r w:rsidR="00DB0CFD" w:rsidRPr="00DF373D">
        <w:rPr>
          <w:rFonts w:ascii="Times New Roman" w:hAnsi="Times New Roman"/>
          <w:color w:val="auto"/>
          <w:sz w:val="22"/>
          <w:szCs w:val="22"/>
        </w:rPr>
        <w:t>;</w:t>
      </w:r>
    </w:p>
    <w:p w14:paraId="48723A6F" w14:textId="0D0F073A" w:rsidR="00345403" w:rsidRPr="00DF373D" w:rsidRDefault="00475507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>odpowiedzialność cywilną</w:t>
      </w:r>
      <w:r w:rsidR="00660D3A" w:rsidRPr="00DF373D">
        <w:rPr>
          <w:rFonts w:ascii="Times New Roman" w:hAnsi="Times New Roman"/>
          <w:color w:val="auto"/>
          <w:sz w:val="22"/>
          <w:szCs w:val="22"/>
        </w:rPr>
        <w:t xml:space="preserve"> za szkody powstałe po wykonaniu  pracy lub usługi - odpowiedzialność do wysokości ogólnej sumy gwarancyjnej na jedno i wszystkie zdarzenia w okresie ubezpieczenia</w:t>
      </w:r>
      <w:r w:rsidR="00DB0CFD" w:rsidRPr="00DF373D">
        <w:rPr>
          <w:rFonts w:ascii="Times New Roman" w:hAnsi="Times New Roman"/>
          <w:color w:val="auto"/>
          <w:sz w:val="22"/>
          <w:szCs w:val="22"/>
        </w:rPr>
        <w:t>;</w:t>
      </w:r>
    </w:p>
    <w:p w14:paraId="200C3CE8" w14:textId="77777777" w:rsidR="00D862E6" w:rsidRPr="00DF373D" w:rsidRDefault="00475507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u w:val="single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>odpowiedzialność cywilną</w:t>
      </w:r>
      <w:r w:rsidR="00660D3A" w:rsidRPr="00DF373D">
        <w:rPr>
          <w:rFonts w:ascii="Times New Roman" w:hAnsi="Times New Roman"/>
          <w:color w:val="auto"/>
          <w:sz w:val="22"/>
          <w:szCs w:val="22"/>
        </w:rPr>
        <w:t xml:space="preserve"> za szkody wyrządzone przez </w:t>
      </w:r>
      <w:r w:rsidR="008B661C" w:rsidRPr="00DF373D">
        <w:rPr>
          <w:rFonts w:ascii="Times New Roman" w:hAnsi="Times New Roman"/>
          <w:color w:val="auto"/>
          <w:sz w:val="22"/>
          <w:szCs w:val="22"/>
        </w:rPr>
        <w:t>p</w:t>
      </w:r>
      <w:r w:rsidR="00660D3A" w:rsidRPr="00DF373D">
        <w:rPr>
          <w:rFonts w:ascii="Times New Roman" w:hAnsi="Times New Roman"/>
          <w:color w:val="auto"/>
          <w:sz w:val="22"/>
          <w:szCs w:val="22"/>
        </w:rPr>
        <w:t>odwykonawców - odpowiedzialność do wysokości ogólnej sumy gwarancyjnej na jedno i wszystkie zdarzenia w okresie ubezpieczenia</w:t>
      </w:r>
      <w:r w:rsidR="00DB0CFD" w:rsidRPr="00DF373D">
        <w:rPr>
          <w:rFonts w:ascii="Times New Roman" w:hAnsi="Times New Roman"/>
          <w:color w:val="auto"/>
          <w:sz w:val="22"/>
          <w:szCs w:val="22"/>
        </w:rPr>
        <w:t>;</w:t>
      </w:r>
    </w:p>
    <w:p w14:paraId="78654D1C" w14:textId="77777777" w:rsidR="00D862E6" w:rsidRPr="009F3269" w:rsidRDefault="00D862E6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9F3269">
        <w:rPr>
          <w:rFonts w:ascii="Times New Roman" w:eastAsia="Calibri" w:hAnsi="Times New Roman"/>
          <w:color w:val="auto"/>
          <w:sz w:val="22"/>
          <w:szCs w:val="22"/>
        </w:rPr>
        <w:t xml:space="preserve">odpowiedzialność cywilną za szkody spowodowane przez pojazdy niepodlegające obowiązkowemu ubezpieczeniu OC, jeżeli tego typu pojazdy będą wykorzystywane przez Najemcę na terenie </w:t>
      </w:r>
      <w:r w:rsidRPr="009F3269">
        <w:rPr>
          <w:rFonts w:ascii="Times New Roman" w:eastAsia="Calibri" w:hAnsi="Times New Roman"/>
          <w:color w:val="auto"/>
          <w:sz w:val="22"/>
          <w:szCs w:val="22"/>
          <w:lang w:val="x-none"/>
        </w:rPr>
        <w:t xml:space="preserve">realizacji zamówienia </w:t>
      </w:r>
      <w:r w:rsidRPr="009F3269">
        <w:rPr>
          <w:rFonts w:ascii="Times New Roman" w:eastAsia="Calibri" w:hAnsi="Times New Roman"/>
          <w:color w:val="auto"/>
          <w:sz w:val="22"/>
          <w:szCs w:val="22"/>
        </w:rPr>
        <w:t>- odpowiedzialność do wysokości ogólnej sumy gwarancyjnej na jedno i wszystkie zdarzenia w okresie ubezpieczenia;</w:t>
      </w:r>
    </w:p>
    <w:p w14:paraId="537134EC" w14:textId="745368BD" w:rsidR="00D862E6" w:rsidRPr="00DF373D" w:rsidRDefault="00D862E6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eastAsia="Calibri" w:hAnsi="Times New Roman"/>
          <w:color w:val="auto"/>
          <w:sz w:val="22"/>
          <w:szCs w:val="22"/>
        </w:rPr>
        <w:t>odpowiedzialność</w:t>
      </w:r>
      <w:r w:rsidRPr="00DF373D">
        <w:rPr>
          <w:rFonts w:ascii="Times New Roman" w:hAnsi="Times New Roman"/>
          <w:color w:val="auto"/>
          <w:sz w:val="22"/>
          <w:szCs w:val="22"/>
        </w:rPr>
        <w:t xml:space="preserve"> za szkody wynikające z nagłego zanieczyszczenia środowiska szkodliwymi substancjami -  </w:t>
      </w:r>
      <w:r w:rsidR="0089031F" w:rsidRPr="00DF373D">
        <w:rPr>
          <w:rFonts w:ascii="Times New Roman" w:hAnsi="Times New Roman"/>
          <w:color w:val="auto"/>
          <w:sz w:val="22"/>
          <w:szCs w:val="22"/>
        </w:rPr>
        <w:t>dopuszczalny</w:t>
      </w:r>
      <w:r w:rsidR="0089031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89031F">
        <w:rPr>
          <w:rFonts w:ascii="Times New Roman" w:hAnsi="Times New Roman"/>
          <w:color w:val="auto"/>
          <w:sz w:val="22"/>
          <w:szCs w:val="22"/>
        </w:rPr>
        <w:t>podlimit</w:t>
      </w:r>
      <w:proofErr w:type="spellEnd"/>
      <w:r w:rsidR="0089031F">
        <w:rPr>
          <w:rFonts w:ascii="Times New Roman" w:hAnsi="Times New Roman"/>
          <w:color w:val="auto"/>
          <w:sz w:val="22"/>
          <w:szCs w:val="22"/>
        </w:rPr>
        <w:t xml:space="preserve"> odpowiedzialności – 1</w:t>
      </w:r>
      <w:r w:rsidR="0089031F" w:rsidRPr="00DF373D">
        <w:rPr>
          <w:rFonts w:ascii="Times New Roman" w:hAnsi="Times New Roman"/>
          <w:color w:val="auto"/>
          <w:sz w:val="22"/>
          <w:szCs w:val="22"/>
        </w:rPr>
        <w:t>.000.000 zł na jedno i wszystkie zdarzenia w okresie ubezpieczenia</w:t>
      </w:r>
      <w:r w:rsidRPr="00DF373D">
        <w:rPr>
          <w:rFonts w:ascii="Times New Roman" w:eastAsia="Calibri" w:hAnsi="Times New Roman"/>
          <w:color w:val="auto"/>
          <w:sz w:val="22"/>
          <w:szCs w:val="22"/>
        </w:rPr>
        <w:t>;</w:t>
      </w:r>
    </w:p>
    <w:p w14:paraId="0579AD07" w14:textId="6132B5C8" w:rsidR="00D862E6" w:rsidRPr="00DF373D" w:rsidRDefault="00D862E6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>odpowiedzialność za szkody w podziemnych instalacjach - odpowiedzialność do wysokości ogólnej sumy gwarancyjnej na jedno i wszystkie zdarzenia w okresie ubezpieczenia,</w:t>
      </w:r>
    </w:p>
    <w:p w14:paraId="27EFA515" w14:textId="4ED1F25D" w:rsidR="00D862E6" w:rsidRPr="00DF373D" w:rsidRDefault="0089031F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odpowiedzialność za szkody </w:t>
      </w:r>
      <w:r w:rsidR="00D862E6" w:rsidRPr="00DF373D">
        <w:rPr>
          <w:rFonts w:ascii="Times New Roman" w:hAnsi="Times New Roman"/>
          <w:color w:val="auto"/>
          <w:sz w:val="22"/>
          <w:szCs w:val="22"/>
        </w:rPr>
        <w:t>w mieniu stanowiącym przedmiot obróbki, naprawy lub innych czynności w ramach usług wykonywanych przez osoby objęte ubezpieczeniem - dopuszczalny</w:t>
      </w: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color w:val="auto"/>
          <w:sz w:val="22"/>
          <w:szCs w:val="22"/>
        </w:rPr>
        <w:t>podlimit</w:t>
      </w:r>
      <w:proofErr w:type="spellEnd"/>
      <w:r>
        <w:rPr>
          <w:rFonts w:ascii="Times New Roman" w:hAnsi="Times New Roman"/>
          <w:color w:val="auto"/>
          <w:sz w:val="22"/>
          <w:szCs w:val="22"/>
        </w:rPr>
        <w:t xml:space="preserve"> odpowiedzialności – 1</w:t>
      </w:r>
      <w:r w:rsidR="00D862E6" w:rsidRPr="00DF373D">
        <w:rPr>
          <w:rFonts w:ascii="Times New Roman" w:hAnsi="Times New Roman"/>
          <w:color w:val="auto"/>
          <w:sz w:val="22"/>
          <w:szCs w:val="22"/>
        </w:rPr>
        <w:t>.000.000 zł na jedno i wszystkie zdarzenia w okresie ubezpieczenia,</w:t>
      </w:r>
    </w:p>
    <w:p w14:paraId="2F9CF1AB" w14:textId="1C32B39B" w:rsidR="00D862E6" w:rsidRPr="00DF373D" w:rsidRDefault="00D862E6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>odpowiedzialność za szkody powstałe wskutek osunięcia się ziemi i osłabienia elementów nośnych  - dopuszczalny</w:t>
      </w:r>
      <w:r w:rsidR="0089031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89031F">
        <w:rPr>
          <w:rFonts w:ascii="Times New Roman" w:hAnsi="Times New Roman"/>
          <w:color w:val="auto"/>
          <w:sz w:val="22"/>
          <w:szCs w:val="22"/>
        </w:rPr>
        <w:t>podlimit</w:t>
      </w:r>
      <w:proofErr w:type="spellEnd"/>
      <w:r w:rsidR="0089031F">
        <w:rPr>
          <w:rFonts w:ascii="Times New Roman" w:hAnsi="Times New Roman"/>
          <w:color w:val="auto"/>
          <w:sz w:val="22"/>
          <w:szCs w:val="22"/>
        </w:rPr>
        <w:t xml:space="preserve"> odpowiedzialności:  5</w:t>
      </w:r>
      <w:r w:rsidRPr="00DF373D">
        <w:rPr>
          <w:rFonts w:ascii="Times New Roman" w:hAnsi="Times New Roman"/>
          <w:color w:val="auto"/>
          <w:sz w:val="22"/>
          <w:szCs w:val="22"/>
        </w:rPr>
        <w:t>00.000 zł na jedno i wszystkie zdarzenia w  okresie ubezpieczenia,</w:t>
      </w:r>
    </w:p>
    <w:p w14:paraId="32EFFB33" w14:textId="502986B9" w:rsidR="00D862E6" w:rsidRPr="00DF373D" w:rsidRDefault="00D862E6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>odpowiedzialność za szkody polegające na długofalowym oddziaływaniu czynnika wibracji - dopuszczaln</w:t>
      </w:r>
      <w:r w:rsidR="0089031F">
        <w:rPr>
          <w:rFonts w:ascii="Times New Roman" w:hAnsi="Times New Roman"/>
          <w:color w:val="auto"/>
          <w:sz w:val="22"/>
          <w:szCs w:val="22"/>
        </w:rPr>
        <w:t xml:space="preserve">y </w:t>
      </w:r>
      <w:proofErr w:type="spellStart"/>
      <w:r w:rsidR="0089031F">
        <w:rPr>
          <w:rFonts w:ascii="Times New Roman" w:hAnsi="Times New Roman"/>
          <w:color w:val="auto"/>
          <w:sz w:val="22"/>
          <w:szCs w:val="22"/>
        </w:rPr>
        <w:t>podlimit</w:t>
      </w:r>
      <w:proofErr w:type="spellEnd"/>
      <w:r w:rsidR="0089031F">
        <w:rPr>
          <w:rFonts w:ascii="Times New Roman" w:hAnsi="Times New Roman"/>
          <w:color w:val="auto"/>
          <w:sz w:val="22"/>
          <w:szCs w:val="22"/>
        </w:rPr>
        <w:t xml:space="preserve"> odpowiedzialności: 5</w:t>
      </w:r>
      <w:r w:rsidRPr="00DF373D">
        <w:rPr>
          <w:rFonts w:ascii="Times New Roman" w:hAnsi="Times New Roman"/>
          <w:color w:val="auto"/>
          <w:sz w:val="22"/>
          <w:szCs w:val="22"/>
        </w:rPr>
        <w:t>00.000 zł  na jedno i wszystkie zdarzenia w  okresie ubezpieczenia,</w:t>
      </w:r>
    </w:p>
    <w:p w14:paraId="3B849158" w14:textId="35FFA52E" w:rsidR="00D862E6" w:rsidRPr="00DF373D" w:rsidRDefault="00D862E6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>odpowiedzialność za szkody wynikłe z działania młotów, kafarów - odpowiedzialność do wysokości ogólnej sumy gwarancyjnej na jedno i wszystkie zdarzenia w okresie ubezpieczenia,</w:t>
      </w:r>
    </w:p>
    <w:p w14:paraId="2232E29B" w14:textId="369CE304" w:rsidR="00D862E6" w:rsidRPr="00DF373D" w:rsidRDefault="00D862E6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lastRenderedPageBreak/>
        <w:t xml:space="preserve">klauzula usunięcia i zastąpienia – dopuszczalny </w:t>
      </w:r>
      <w:proofErr w:type="spellStart"/>
      <w:r w:rsidRPr="00DF373D">
        <w:rPr>
          <w:rFonts w:ascii="Times New Roman" w:hAnsi="Times New Roman"/>
          <w:color w:val="auto"/>
          <w:sz w:val="22"/>
          <w:szCs w:val="22"/>
        </w:rPr>
        <w:t>podli</w:t>
      </w:r>
      <w:r w:rsidR="0089031F">
        <w:rPr>
          <w:rFonts w:ascii="Times New Roman" w:hAnsi="Times New Roman"/>
          <w:color w:val="auto"/>
          <w:sz w:val="22"/>
          <w:szCs w:val="22"/>
        </w:rPr>
        <w:t>mit</w:t>
      </w:r>
      <w:proofErr w:type="spellEnd"/>
      <w:r w:rsidR="0089031F">
        <w:rPr>
          <w:rFonts w:ascii="Times New Roman" w:hAnsi="Times New Roman"/>
          <w:color w:val="auto"/>
          <w:sz w:val="22"/>
          <w:szCs w:val="22"/>
        </w:rPr>
        <w:t xml:space="preserve"> odpowiedzialności: 5</w:t>
      </w:r>
      <w:r w:rsidRPr="00DF373D">
        <w:rPr>
          <w:rFonts w:ascii="Times New Roman" w:hAnsi="Times New Roman"/>
          <w:color w:val="auto"/>
          <w:sz w:val="22"/>
          <w:szCs w:val="22"/>
        </w:rPr>
        <w:t>00.000 zł na jedno i wszystkie zdarzenia w  okresie ubezpieczenia,</w:t>
      </w:r>
    </w:p>
    <w:p w14:paraId="152C0670" w14:textId="76A77295" w:rsidR="00D862E6" w:rsidRPr="00DF373D" w:rsidRDefault="0089031F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czyste straty finansowe </w:t>
      </w:r>
      <w:r w:rsidR="00D862E6" w:rsidRPr="00DF373D">
        <w:rPr>
          <w:rFonts w:ascii="Times New Roman" w:hAnsi="Times New Roman"/>
          <w:color w:val="auto"/>
          <w:sz w:val="22"/>
          <w:szCs w:val="22"/>
        </w:rPr>
        <w:t xml:space="preserve">- dopuszczalny </w:t>
      </w:r>
      <w:proofErr w:type="spellStart"/>
      <w:r w:rsidR="00D862E6" w:rsidRPr="00DF373D">
        <w:rPr>
          <w:rFonts w:ascii="Times New Roman" w:hAnsi="Times New Roman"/>
          <w:color w:val="auto"/>
          <w:sz w:val="22"/>
          <w:szCs w:val="22"/>
        </w:rPr>
        <w:t>podlimit</w:t>
      </w:r>
      <w:proofErr w:type="spellEnd"/>
      <w:r w:rsidR="00D862E6" w:rsidRPr="00DF373D">
        <w:rPr>
          <w:rFonts w:ascii="Times New Roman" w:hAnsi="Times New Roman"/>
          <w:color w:val="auto"/>
          <w:sz w:val="22"/>
          <w:szCs w:val="22"/>
        </w:rPr>
        <w:t xml:space="preserve"> odpowie</w:t>
      </w:r>
      <w:r>
        <w:rPr>
          <w:rFonts w:ascii="Times New Roman" w:hAnsi="Times New Roman"/>
          <w:color w:val="auto"/>
          <w:sz w:val="22"/>
          <w:szCs w:val="22"/>
        </w:rPr>
        <w:t>dzialności: 3</w:t>
      </w:r>
      <w:r w:rsidR="00D862E6" w:rsidRPr="00DF373D">
        <w:rPr>
          <w:rFonts w:ascii="Times New Roman" w:hAnsi="Times New Roman"/>
          <w:color w:val="auto"/>
          <w:sz w:val="22"/>
          <w:szCs w:val="22"/>
        </w:rPr>
        <w:t>00.000 PLN na jedno i wszystkie zdarzenia w okresie ubezpieczenia,</w:t>
      </w:r>
    </w:p>
    <w:p w14:paraId="54FFBE05" w14:textId="63E7A0FC" w:rsidR="00D862E6" w:rsidRPr="00DF373D" w:rsidRDefault="00D862E6" w:rsidP="009F3269">
      <w:pPr>
        <w:pStyle w:val="Akapitzlist"/>
        <w:numPr>
          <w:ilvl w:val="2"/>
          <w:numId w:val="5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DF373D">
        <w:rPr>
          <w:rFonts w:ascii="Times New Roman" w:hAnsi="Times New Roman"/>
          <w:color w:val="auto"/>
          <w:sz w:val="22"/>
          <w:szCs w:val="22"/>
        </w:rPr>
        <w:t>szkody wskutek rażącego niedbalstwa - odpowiedzialność do wysokości ogólnej sumy gwarancyjnej na jedno i wszystkie zdarzenia w okresie ubezpieczenia,</w:t>
      </w:r>
    </w:p>
    <w:p w14:paraId="01669018" w14:textId="08AAA6D0" w:rsidR="006731C7" w:rsidRPr="00DF373D" w:rsidRDefault="006731C7" w:rsidP="009F326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DF373D">
        <w:rPr>
          <w:rFonts w:ascii="Times New Roman" w:eastAsia="Times New Roman" w:hAnsi="Times New Roman"/>
          <w:lang w:eastAsia="pl-PL"/>
        </w:rPr>
        <w:t xml:space="preserve">Wykonawca zobowiązany jest przedstawić Zamawiającemu oryginał lub kopię poświadczoną przez Wykonawcę za zgodność z oryginałem każdej </w:t>
      </w:r>
      <w:r w:rsidR="00741866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, o jakiej mowa w niniejszym paragrafie, w ciągu 7 (słownie: siedmiu) dni od dnia zawarcia </w:t>
      </w:r>
      <w:r w:rsidR="00741866" w:rsidRPr="00DF373D">
        <w:rPr>
          <w:rFonts w:ascii="Times New Roman" w:eastAsia="Times New Roman" w:hAnsi="Times New Roman"/>
          <w:lang w:eastAsia="pl-PL"/>
        </w:rPr>
        <w:t>u</w:t>
      </w:r>
      <w:r w:rsidRPr="00DF373D">
        <w:rPr>
          <w:rFonts w:ascii="Times New Roman" w:eastAsia="Times New Roman" w:hAnsi="Times New Roman"/>
          <w:lang w:eastAsia="pl-PL"/>
        </w:rPr>
        <w:t xml:space="preserve">mowy oraz utrzymywać i przedstawiać bez wezwania </w:t>
      </w:r>
      <w:r w:rsidR="00741866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 przez cały okres trwania </w:t>
      </w:r>
      <w:r w:rsidR="00741866" w:rsidRPr="00DF373D">
        <w:rPr>
          <w:rFonts w:ascii="Times New Roman" w:eastAsia="Times New Roman" w:hAnsi="Times New Roman"/>
          <w:lang w:eastAsia="pl-PL"/>
        </w:rPr>
        <w:t>u</w:t>
      </w:r>
      <w:r w:rsidRPr="00DF373D">
        <w:rPr>
          <w:rFonts w:ascii="Times New Roman" w:eastAsia="Times New Roman" w:hAnsi="Times New Roman"/>
          <w:lang w:eastAsia="pl-PL"/>
        </w:rPr>
        <w:t xml:space="preserve">mowy. </w:t>
      </w:r>
      <w:r w:rsidRPr="00DF373D">
        <w:rPr>
          <w:rFonts w:ascii="Times New Roman" w:hAnsi="Times New Roman"/>
          <w:lang w:eastAsia="pl-PL"/>
        </w:rPr>
        <w:t xml:space="preserve"> Kopia każdej kolejnej zawartej przez Wykonawcę </w:t>
      </w:r>
      <w:r w:rsidR="00741866" w:rsidRPr="00DF373D">
        <w:rPr>
          <w:rFonts w:ascii="Times New Roman" w:hAnsi="Times New Roman"/>
          <w:lang w:eastAsia="pl-PL"/>
        </w:rPr>
        <w:t>umowy ubezpieczenia</w:t>
      </w:r>
      <w:r w:rsidRPr="00DF373D">
        <w:rPr>
          <w:rFonts w:ascii="Times New Roman" w:hAnsi="Times New Roman"/>
          <w:lang w:eastAsia="pl-PL"/>
        </w:rPr>
        <w:t xml:space="preserve"> wraz z dowodem opłaty składki winna zostać dostarczona Zamawiającemu w ciągu  7 (słownie: siedem) dni </w:t>
      </w:r>
      <w:r w:rsidRPr="00DF373D">
        <w:rPr>
          <w:rFonts w:ascii="Times New Roman" w:eastAsia="Times New Roman" w:hAnsi="Times New Roman"/>
          <w:lang w:eastAsia="pl-PL"/>
        </w:rPr>
        <w:t xml:space="preserve">od dnia zawarcia wznowienia </w:t>
      </w:r>
      <w:r w:rsidR="00741866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. W przypadku uchybienia w/w obowiązkowi, oraz gdy dostarczona przez Wykonawcę </w:t>
      </w:r>
      <w:r w:rsidR="00741866" w:rsidRPr="00DF373D">
        <w:rPr>
          <w:rFonts w:ascii="Times New Roman" w:eastAsia="Times New Roman" w:hAnsi="Times New Roman"/>
          <w:lang w:eastAsia="pl-PL"/>
        </w:rPr>
        <w:t>umowa ubezpieczenia</w:t>
      </w:r>
      <w:r w:rsidRPr="00DF373D">
        <w:rPr>
          <w:rFonts w:ascii="Times New Roman" w:eastAsia="Times New Roman" w:hAnsi="Times New Roman"/>
          <w:lang w:eastAsia="pl-PL"/>
        </w:rPr>
        <w:t xml:space="preserve"> nie będzie spełniać określonych przez Zamawiającego wymogów lub zawierać inne niekorzystne rynkowo zapisy dla jakości ochrony ubezpieczeniowej, Zamawiający zgłosi Wykonawcy stosowne uwagi, które ten zobowiązany będzie uwzględnić, korygując zawartą </w:t>
      </w:r>
      <w:r w:rsidR="00741866" w:rsidRPr="00DF373D">
        <w:rPr>
          <w:rFonts w:ascii="Times New Roman" w:eastAsia="Times New Roman" w:hAnsi="Times New Roman"/>
          <w:lang w:eastAsia="pl-PL"/>
        </w:rPr>
        <w:t>umowę ubezpieczenia</w:t>
      </w:r>
      <w:r w:rsidRPr="00DF373D">
        <w:rPr>
          <w:rFonts w:ascii="Times New Roman" w:eastAsia="Times New Roman" w:hAnsi="Times New Roman"/>
          <w:lang w:eastAsia="pl-PL"/>
        </w:rPr>
        <w:t xml:space="preserve"> lub zawierając nową, w terminie 7 (słownie: siedmiu) dni od dnia otrzymania uwag Zamawiającego. Po bezskutecznym upływie tego terminu Zamawiającemu przysługuje uprawnienie do zawarcia </w:t>
      </w:r>
      <w:r w:rsidR="00741866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 na warunkach nie gorszych niż wskazanych w niniejszym paragrafie na koszt Wykonawcy na okres do 12 (słownie: dwunastu) miesięcy, bez konieczności uzyskiwania dodatkowej zgody sądu. Wykonawca zobowiązuje się do pokrycia wszelkich kosztów związanych z zawarciem </w:t>
      </w:r>
      <w:r w:rsidR="00741866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 w terminie 7 (siedmiu ) dni</w:t>
      </w:r>
      <w:r w:rsidR="009F3269">
        <w:rPr>
          <w:rFonts w:ascii="Times New Roman" w:eastAsia="Times New Roman" w:hAnsi="Times New Roman"/>
          <w:lang w:eastAsia="pl-PL"/>
        </w:rPr>
        <w:t xml:space="preserve"> od dnia otrzymania noty obciążeniowej ze strony Zamawiającego</w:t>
      </w:r>
      <w:r w:rsidRPr="00DF373D">
        <w:rPr>
          <w:rFonts w:ascii="Times New Roman" w:eastAsia="Times New Roman" w:hAnsi="Times New Roman"/>
          <w:lang w:eastAsia="pl-PL"/>
        </w:rPr>
        <w:t>.</w:t>
      </w:r>
    </w:p>
    <w:p w14:paraId="56B28A5C" w14:textId="37A461D3" w:rsidR="006731C7" w:rsidRPr="00DF373D" w:rsidRDefault="006731C7" w:rsidP="009F326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DF373D">
        <w:rPr>
          <w:rFonts w:ascii="Times New Roman" w:eastAsia="Times New Roman" w:hAnsi="Times New Roman"/>
          <w:lang w:eastAsia="pl-PL"/>
        </w:rPr>
        <w:t xml:space="preserve">Wykonawca zobowiązany jest przestrzegać obowiązków wynikających z zawartych </w:t>
      </w:r>
      <w:r w:rsidR="00DB0CFD" w:rsidRPr="00DF373D">
        <w:rPr>
          <w:rFonts w:ascii="Times New Roman" w:eastAsia="Times New Roman" w:hAnsi="Times New Roman"/>
          <w:lang w:eastAsia="pl-PL"/>
        </w:rPr>
        <w:t xml:space="preserve">umów ubezpieczenia </w:t>
      </w:r>
      <w:r w:rsidRPr="00DF373D">
        <w:rPr>
          <w:rFonts w:ascii="Times New Roman" w:eastAsia="Times New Roman" w:hAnsi="Times New Roman"/>
          <w:lang w:eastAsia="pl-PL"/>
        </w:rPr>
        <w:t xml:space="preserve">oraz OWU stanowiących podstawę zawartych </w:t>
      </w:r>
      <w:r w:rsidR="00DB0CFD" w:rsidRPr="00DF373D">
        <w:rPr>
          <w:rFonts w:ascii="Times New Roman" w:eastAsia="Times New Roman" w:hAnsi="Times New Roman"/>
          <w:lang w:eastAsia="pl-PL"/>
        </w:rPr>
        <w:t>umów ubezpieczenia</w:t>
      </w:r>
      <w:r w:rsidRPr="00DF373D">
        <w:rPr>
          <w:rFonts w:ascii="Times New Roman" w:eastAsia="Times New Roman" w:hAnsi="Times New Roman"/>
          <w:lang w:eastAsia="pl-PL"/>
        </w:rPr>
        <w:t>.</w:t>
      </w:r>
    </w:p>
    <w:p w14:paraId="71D962A8" w14:textId="1CAA9EA2" w:rsidR="001F7A75" w:rsidRPr="00DF373D" w:rsidRDefault="006731C7" w:rsidP="009F326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DF373D">
        <w:rPr>
          <w:rFonts w:ascii="Times New Roman" w:eastAsia="Times New Roman" w:hAnsi="Times New Roman"/>
          <w:lang w:eastAsia="pl-PL"/>
        </w:rPr>
        <w:t xml:space="preserve">Wszystkie koszty związane z zawarciem, posiadaniem, przedstawieniem Zamawiającemu dowodu zawarcia </w:t>
      </w:r>
      <w:r w:rsidR="00DB0CFD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 oraz opłacaniem składek ubezpieczeniowych obciążają Wykonawcę.</w:t>
      </w:r>
    </w:p>
    <w:p w14:paraId="1B5B2F6E" w14:textId="77777777" w:rsidR="006731C7" w:rsidRPr="00DF373D" w:rsidRDefault="006731C7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DF373D">
        <w:rPr>
          <w:rFonts w:ascii="Times New Roman" w:hAnsi="Times New Roman"/>
          <w:sz w:val="22"/>
          <w:szCs w:val="22"/>
        </w:rPr>
        <w:t>W przypadku szkody wyrządzonej Zamawiającemu nie pokrytej przez ubezpieczyciela, Wykonawca zobowiązuje się ją zrekompensować we własnym zakresie. W przypadku szkód pokrytych przez ubezpieczyciela z potrąceniem franszyzy lub udziału własnego, Wykonawca zobowiązuje się pokryć kwotę franszyzy lub udziału własnego we własnym zakresie.</w:t>
      </w:r>
    </w:p>
    <w:p w14:paraId="1437486F" w14:textId="468AB5BA" w:rsidR="006731C7" w:rsidRPr="00DF373D" w:rsidRDefault="006731C7" w:rsidP="009F3269">
      <w:pPr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DF373D">
        <w:rPr>
          <w:rFonts w:ascii="Times New Roman" w:hAnsi="Times New Roman"/>
        </w:rPr>
        <w:t>Wszelkie odstępstwa od powyższych zakresów muszą być każdorazowo, pisemnie zaakceptowane przez</w:t>
      </w:r>
      <w:r w:rsidRPr="00DF373D">
        <w:rPr>
          <w:rFonts w:ascii="Times New Roman" w:hAnsi="Times New Roman"/>
          <w:lang w:val="x-none"/>
        </w:rPr>
        <w:t xml:space="preserve"> </w:t>
      </w:r>
      <w:r w:rsidRPr="00DF373D">
        <w:rPr>
          <w:rFonts w:ascii="Times New Roman" w:hAnsi="Times New Roman"/>
        </w:rPr>
        <w:t>Zamawiającego.</w:t>
      </w:r>
    </w:p>
    <w:p w14:paraId="3B901888" w14:textId="77777777" w:rsidR="006731C7" w:rsidRPr="001F7A75" w:rsidRDefault="006731C7">
      <w:pPr>
        <w:pStyle w:val="Tekstpodstawowywcity"/>
        <w:tabs>
          <w:tab w:val="clear" w:pos="1080"/>
        </w:tabs>
        <w:ind w:left="360" w:firstLine="0"/>
        <w:rPr>
          <w:rFonts w:ascii="Times New Roman" w:hAnsi="Times New Roman"/>
          <w:sz w:val="22"/>
          <w:szCs w:val="22"/>
        </w:rPr>
      </w:pPr>
    </w:p>
    <w:p w14:paraId="3F891C13" w14:textId="77777777" w:rsidR="00F86862" w:rsidRPr="00345403" w:rsidRDefault="00F86862" w:rsidP="009F326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F86862" w:rsidRPr="00345403" w:rsidSect="004B0D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D4022" w14:textId="77777777" w:rsidR="0019239A" w:rsidRDefault="0019239A" w:rsidP="0019239A">
      <w:pPr>
        <w:spacing w:after="0" w:line="240" w:lineRule="auto"/>
      </w:pPr>
      <w:r>
        <w:separator/>
      </w:r>
    </w:p>
  </w:endnote>
  <w:endnote w:type="continuationSeparator" w:id="0">
    <w:p w14:paraId="5A873586" w14:textId="77777777" w:rsidR="0019239A" w:rsidRDefault="0019239A" w:rsidP="0019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Technic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F07E6" w14:textId="77777777" w:rsidR="0019239A" w:rsidRDefault="0019239A" w:rsidP="0019239A">
      <w:pPr>
        <w:spacing w:after="0" w:line="240" w:lineRule="auto"/>
      </w:pPr>
      <w:r>
        <w:separator/>
      </w:r>
    </w:p>
  </w:footnote>
  <w:footnote w:type="continuationSeparator" w:id="0">
    <w:p w14:paraId="38679204" w14:textId="77777777" w:rsidR="0019239A" w:rsidRDefault="0019239A" w:rsidP="00192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01C31" w14:textId="7B403FA5" w:rsidR="0019239A" w:rsidRPr="00161A59" w:rsidRDefault="0019239A" w:rsidP="0019239A">
    <w:pPr>
      <w:pBdr>
        <w:bottom w:val="single" w:sz="4" w:space="1" w:color="auto"/>
      </w:pBdr>
      <w:spacing w:before="240"/>
      <w:jc w:val="both"/>
      <w:rPr>
        <w:i/>
        <w:iCs/>
        <w:sz w:val="18"/>
        <w:szCs w:val="18"/>
      </w:rPr>
    </w:pPr>
    <w:r>
      <w:rPr>
        <w:rFonts w:ascii="Times New Roman" w:hAnsi="Times New Roman"/>
        <w:i/>
        <w:iCs/>
        <w:color w:val="000000"/>
        <w:sz w:val="20"/>
        <w:szCs w:val="20"/>
      </w:rPr>
      <w:t xml:space="preserve">DOD/DZIN/2025/003 –  </w:t>
    </w:r>
    <w:r>
      <w:rPr>
        <w:rFonts w:ascii="Times New Roman" w:hAnsi="Times New Roman"/>
        <w:i/>
        <w:iCs/>
        <w:color w:val="000000"/>
        <w:sz w:val="20"/>
        <w:szCs w:val="20"/>
      </w:rPr>
      <w:t xml:space="preserve">warunki ubezpieczenia - </w:t>
    </w:r>
    <w:r>
      <w:rPr>
        <w:rFonts w:ascii="Times New Roman" w:hAnsi="Times New Roman"/>
        <w:i/>
        <w:iCs/>
        <w:color w:val="000000"/>
        <w:sz w:val="20"/>
        <w:szCs w:val="20"/>
      </w:rPr>
      <w:t>załącznik do umowy – Wykonywanie utwardzeń powierzchni gruntu na działkach budowlanych zlokalizowanych na terenie Portu Gdańsk</w:t>
    </w:r>
    <w:r w:rsidRPr="002C23E4">
      <w:rPr>
        <w:rFonts w:ascii="Times New Roman" w:hAnsi="Times New Roman"/>
        <w:i/>
        <w:iCs/>
        <w:color w:val="000000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93137"/>
    <w:multiLevelType w:val="hybridMultilevel"/>
    <w:tmpl w:val="B4C8F57C"/>
    <w:lvl w:ilvl="0" w:tplc="1AD6DB96">
      <w:start w:val="1"/>
      <w:numFmt w:val="decimal"/>
      <w:lvlText w:val="%1."/>
      <w:lvlJc w:val="left"/>
      <w:pPr>
        <w:ind w:left="720" w:hanging="360"/>
      </w:pPr>
    </w:lvl>
    <w:lvl w:ilvl="1" w:tplc="9FD4278A">
      <w:start w:val="1"/>
      <w:numFmt w:val="decimal"/>
      <w:lvlText w:val="%2."/>
      <w:lvlJc w:val="left"/>
      <w:pPr>
        <w:ind w:left="720" w:hanging="360"/>
      </w:pPr>
    </w:lvl>
    <w:lvl w:ilvl="2" w:tplc="39EEE7C2">
      <w:start w:val="1"/>
      <w:numFmt w:val="decimal"/>
      <w:lvlText w:val="%3."/>
      <w:lvlJc w:val="left"/>
      <w:pPr>
        <w:ind w:left="720" w:hanging="360"/>
      </w:pPr>
    </w:lvl>
    <w:lvl w:ilvl="3" w:tplc="BF884896">
      <w:start w:val="1"/>
      <w:numFmt w:val="decimal"/>
      <w:lvlText w:val="%4."/>
      <w:lvlJc w:val="left"/>
      <w:pPr>
        <w:ind w:left="720" w:hanging="360"/>
      </w:pPr>
    </w:lvl>
    <w:lvl w:ilvl="4" w:tplc="123CCEB2">
      <w:start w:val="1"/>
      <w:numFmt w:val="decimal"/>
      <w:lvlText w:val="%5."/>
      <w:lvlJc w:val="left"/>
      <w:pPr>
        <w:ind w:left="720" w:hanging="360"/>
      </w:pPr>
    </w:lvl>
    <w:lvl w:ilvl="5" w:tplc="02EA1880">
      <w:start w:val="1"/>
      <w:numFmt w:val="decimal"/>
      <w:lvlText w:val="%6."/>
      <w:lvlJc w:val="left"/>
      <w:pPr>
        <w:ind w:left="720" w:hanging="360"/>
      </w:pPr>
    </w:lvl>
    <w:lvl w:ilvl="6" w:tplc="460827A0">
      <w:start w:val="1"/>
      <w:numFmt w:val="decimal"/>
      <w:lvlText w:val="%7."/>
      <w:lvlJc w:val="left"/>
      <w:pPr>
        <w:ind w:left="720" w:hanging="360"/>
      </w:pPr>
    </w:lvl>
    <w:lvl w:ilvl="7" w:tplc="82D0FAB8">
      <w:start w:val="1"/>
      <w:numFmt w:val="decimal"/>
      <w:lvlText w:val="%8."/>
      <w:lvlJc w:val="left"/>
      <w:pPr>
        <w:ind w:left="720" w:hanging="360"/>
      </w:pPr>
    </w:lvl>
    <w:lvl w:ilvl="8" w:tplc="FE302138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16FE33AE"/>
    <w:multiLevelType w:val="hybridMultilevel"/>
    <w:tmpl w:val="1786AE0C"/>
    <w:lvl w:ilvl="0" w:tplc="04150011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 w15:restartNumberingAfterBreak="0">
    <w:nsid w:val="20674295"/>
    <w:multiLevelType w:val="multilevel"/>
    <w:tmpl w:val="E4F2A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99D1C14"/>
    <w:multiLevelType w:val="multilevel"/>
    <w:tmpl w:val="C6202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165199E"/>
    <w:multiLevelType w:val="hybridMultilevel"/>
    <w:tmpl w:val="A8240A72"/>
    <w:lvl w:ilvl="0" w:tplc="848C78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E0D19"/>
    <w:multiLevelType w:val="multilevel"/>
    <w:tmpl w:val="D220B3B6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30" w:hanging="45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6" w15:restartNumberingAfterBreak="0">
    <w:nsid w:val="3AD36A25"/>
    <w:multiLevelType w:val="hybridMultilevel"/>
    <w:tmpl w:val="DAD80FD8"/>
    <w:lvl w:ilvl="0" w:tplc="AF806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8157E"/>
    <w:multiLevelType w:val="hybridMultilevel"/>
    <w:tmpl w:val="353A485A"/>
    <w:lvl w:ilvl="0" w:tplc="EDAA511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BB5A1C"/>
    <w:multiLevelType w:val="hybridMultilevel"/>
    <w:tmpl w:val="33301926"/>
    <w:lvl w:ilvl="0" w:tplc="1D3A91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A70BD"/>
    <w:multiLevelType w:val="hybridMultilevel"/>
    <w:tmpl w:val="10A4ACA2"/>
    <w:lvl w:ilvl="0" w:tplc="514E9706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83DA1"/>
    <w:multiLevelType w:val="hybridMultilevel"/>
    <w:tmpl w:val="39F845CC"/>
    <w:lvl w:ilvl="0" w:tplc="40402CC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EF2A9D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15CAE"/>
    <w:multiLevelType w:val="hybridMultilevel"/>
    <w:tmpl w:val="9ACCEEE6"/>
    <w:lvl w:ilvl="0" w:tplc="740A485E">
      <w:start w:val="1"/>
      <w:numFmt w:val="decimal"/>
      <w:lvlText w:val="%1."/>
      <w:lvlJc w:val="left"/>
      <w:pPr>
        <w:ind w:left="720" w:hanging="360"/>
      </w:pPr>
    </w:lvl>
    <w:lvl w:ilvl="1" w:tplc="AC802F72">
      <w:start w:val="1"/>
      <w:numFmt w:val="decimal"/>
      <w:lvlText w:val="%2."/>
      <w:lvlJc w:val="left"/>
      <w:pPr>
        <w:ind w:left="720" w:hanging="360"/>
      </w:pPr>
    </w:lvl>
    <w:lvl w:ilvl="2" w:tplc="9BBA9D86">
      <w:start w:val="1"/>
      <w:numFmt w:val="decimal"/>
      <w:lvlText w:val="%3."/>
      <w:lvlJc w:val="left"/>
      <w:pPr>
        <w:ind w:left="720" w:hanging="360"/>
      </w:pPr>
    </w:lvl>
    <w:lvl w:ilvl="3" w:tplc="A33A584C">
      <w:start w:val="1"/>
      <w:numFmt w:val="decimal"/>
      <w:lvlText w:val="%4."/>
      <w:lvlJc w:val="left"/>
      <w:pPr>
        <w:ind w:left="720" w:hanging="360"/>
      </w:pPr>
    </w:lvl>
    <w:lvl w:ilvl="4" w:tplc="F432DDEA">
      <w:start w:val="1"/>
      <w:numFmt w:val="decimal"/>
      <w:lvlText w:val="%5."/>
      <w:lvlJc w:val="left"/>
      <w:pPr>
        <w:ind w:left="720" w:hanging="360"/>
      </w:pPr>
    </w:lvl>
    <w:lvl w:ilvl="5" w:tplc="E34A41CC">
      <w:start w:val="1"/>
      <w:numFmt w:val="decimal"/>
      <w:lvlText w:val="%6."/>
      <w:lvlJc w:val="left"/>
      <w:pPr>
        <w:ind w:left="720" w:hanging="360"/>
      </w:pPr>
    </w:lvl>
    <w:lvl w:ilvl="6" w:tplc="BA6C323A">
      <w:start w:val="1"/>
      <w:numFmt w:val="decimal"/>
      <w:lvlText w:val="%7."/>
      <w:lvlJc w:val="left"/>
      <w:pPr>
        <w:ind w:left="720" w:hanging="360"/>
      </w:pPr>
    </w:lvl>
    <w:lvl w:ilvl="7" w:tplc="52ECBA5A">
      <w:start w:val="1"/>
      <w:numFmt w:val="decimal"/>
      <w:lvlText w:val="%8."/>
      <w:lvlJc w:val="left"/>
      <w:pPr>
        <w:ind w:left="720" w:hanging="360"/>
      </w:pPr>
    </w:lvl>
    <w:lvl w:ilvl="8" w:tplc="A8E87566">
      <w:start w:val="1"/>
      <w:numFmt w:val="decimal"/>
      <w:lvlText w:val="%9."/>
      <w:lvlJc w:val="left"/>
      <w:pPr>
        <w:ind w:left="720" w:hanging="360"/>
      </w:pPr>
    </w:lvl>
  </w:abstractNum>
  <w:abstractNum w:abstractNumId="12" w15:restartNumberingAfterBreak="0">
    <w:nsid w:val="66B61BBA"/>
    <w:multiLevelType w:val="hybridMultilevel"/>
    <w:tmpl w:val="D2BADCCC"/>
    <w:lvl w:ilvl="0" w:tplc="0415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740A0624"/>
    <w:multiLevelType w:val="hybridMultilevel"/>
    <w:tmpl w:val="86529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A27A7"/>
    <w:multiLevelType w:val="multilevel"/>
    <w:tmpl w:val="B6E6065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  <w:bCs/>
        <w:caps w:val="0"/>
        <w:strike w:val="0"/>
        <w:dstrike w:val="0"/>
        <w:vanish w:val="0"/>
        <w:vertAlign w:val="baseline"/>
      </w:rPr>
    </w:lvl>
    <w:lvl w:ilvl="3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A83F43"/>
    <w:multiLevelType w:val="hybridMultilevel"/>
    <w:tmpl w:val="EA404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740717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4333886">
    <w:abstractNumId w:val="16"/>
  </w:num>
  <w:num w:numId="2" w16cid:durableId="1245601421">
    <w:abstractNumId w:val="3"/>
  </w:num>
  <w:num w:numId="3" w16cid:durableId="1214542121">
    <w:abstractNumId w:val="1"/>
  </w:num>
  <w:num w:numId="4" w16cid:durableId="341205487">
    <w:abstractNumId w:val="15"/>
  </w:num>
  <w:num w:numId="5" w16cid:durableId="1654410677">
    <w:abstractNumId w:val="5"/>
  </w:num>
  <w:num w:numId="6" w16cid:durableId="1480684940">
    <w:abstractNumId w:val="13"/>
  </w:num>
  <w:num w:numId="7" w16cid:durableId="443378497">
    <w:abstractNumId w:val="14"/>
  </w:num>
  <w:num w:numId="8" w16cid:durableId="1990741633">
    <w:abstractNumId w:val="4"/>
  </w:num>
  <w:num w:numId="9" w16cid:durableId="233709016">
    <w:abstractNumId w:val="7"/>
  </w:num>
  <w:num w:numId="10" w16cid:durableId="21079959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0111704">
    <w:abstractNumId w:val="6"/>
  </w:num>
  <w:num w:numId="12" w16cid:durableId="1579361128">
    <w:abstractNumId w:val="8"/>
  </w:num>
  <w:num w:numId="13" w16cid:durableId="632253666">
    <w:abstractNumId w:val="11"/>
  </w:num>
  <w:num w:numId="14" w16cid:durableId="1092705093">
    <w:abstractNumId w:val="0"/>
  </w:num>
  <w:num w:numId="15" w16cid:durableId="185683128">
    <w:abstractNumId w:val="10"/>
  </w:num>
  <w:num w:numId="16" w16cid:durableId="312150132">
    <w:abstractNumId w:val="12"/>
  </w:num>
  <w:num w:numId="17" w16cid:durableId="11005179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62"/>
    <w:rsid w:val="00002703"/>
    <w:rsid w:val="000278A4"/>
    <w:rsid w:val="000362C6"/>
    <w:rsid w:val="00046DBB"/>
    <w:rsid w:val="00050186"/>
    <w:rsid w:val="00086441"/>
    <w:rsid w:val="000C6FA5"/>
    <w:rsid w:val="000E0E07"/>
    <w:rsid w:val="000F1161"/>
    <w:rsid w:val="000F44FF"/>
    <w:rsid w:val="00100F68"/>
    <w:rsid w:val="0012081F"/>
    <w:rsid w:val="0012164F"/>
    <w:rsid w:val="0019239A"/>
    <w:rsid w:val="001A1A27"/>
    <w:rsid w:val="001A3340"/>
    <w:rsid w:val="001D0D4D"/>
    <w:rsid w:val="001D2B35"/>
    <w:rsid w:val="001E1D14"/>
    <w:rsid w:val="001E2CF9"/>
    <w:rsid w:val="001F7A75"/>
    <w:rsid w:val="0020457C"/>
    <w:rsid w:val="00226CDE"/>
    <w:rsid w:val="002433AD"/>
    <w:rsid w:val="00245FEA"/>
    <w:rsid w:val="00260ED0"/>
    <w:rsid w:val="00270621"/>
    <w:rsid w:val="00277282"/>
    <w:rsid w:val="00286572"/>
    <w:rsid w:val="002A5F2E"/>
    <w:rsid w:val="002A683D"/>
    <w:rsid w:val="002B21D0"/>
    <w:rsid w:val="002B5E68"/>
    <w:rsid w:val="002C288D"/>
    <w:rsid w:val="00312F95"/>
    <w:rsid w:val="00320C3B"/>
    <w:rsid w:val="00331ABC"/>
    <w:rsid w:val="00341C9E"/>
    <w:rsid w:val="00345403"/>
    <w:rsid w:val="00355263"/>
    <w:rsid w:val="003719E4"/>
    <w:rsid w:val="00373A29"/>
    <w:rsid w:val="003A4AAE"/>
    <w:rsid w:val="003B2DE0"/>
    <w:rsid w:val="003B7147"/>
    <w:rsid w:val="00404FD1"/>
    <w:rsid w:val="00405065"/>
    <w:rsid w:val="00411BA5"/>
    <w:rsid w:val="004342EE"/>
    <w:rsid w:val="00443CA0"/>
    <w:rsid w:val="00455314"/>
    <w:rsid w:val="004754E8"/>
    <w:rsid w:val="00475507"/>
    <w:rsid w:val="00483855"/>
    <w:rsid w:val="00496A68"/>
    <w:rsid w:val="004A2F48"/>
    <w:rsid w:val="004B0D34"/>
    <w:rsid w:val="004B5C6D"/>
    <w:rsid w:val="004D32F3"/>
    <w:rsid w:val="004F3C5E"/>
    <w:rsid w:val="00505106"/>
    <w:rsid w:val="00511C8C"/>
    <w:rsid w:val="00541818"/>
    <w:rsid w:val="00565C3C"/>
    <w:rsid w:val="00597A12"/>
    <w:rsid w:val="005C42F9"/>
    <w:rsid w:val="005D0EF2"/>
    <w:rsid w:val="005E1646"/>
    <w:rsid w:val="005E4B70"/>
    <w:rsid w:val="005F0309"/>
    <w:rsid w:val="006017A6"/>
    <w:rsid w:val="00612ABD"/>
    <w:rsid w:val="00616F9C"/>
    <w:rsid w:val="006255DD"/>
    <w:rsid w:val="00637420"/>
    <w:rsid w:val="00660D3A"/>
    <w:rsid w:val="006731C7"/>
    <w:rsid w:val="0069446A"/>
    <w:rsid w:val="00715368"/>
    <w:rsid w:val="007369E2"/>
    <w:rsid w:val="00740F5D"/>
    <w:rsid w:val="00741866"/>
    <w:rsid w:val="00742439"/>
    <w:rsid w:val="007754E5"/>
    <w:rsid w:val="00786AD4"/>
    <w:rsid w:val="00790D18"/>
    <w:rsid w:val="007A5675"/>
    <w:rsid w:val="007C3AE8"/>
    <w:rsid w:val="007D68DB"/>
    <w:rsid w:val="00801D73"/>
    <w:rsid w:val="0081461A"/>
    <w:rsid w:val="00830552"/>
    <w:rsid w:val="008470EA"/>
    <w:rsid w:val="008574AD"/>
    <w:rsid w:val="008876CF"/>
    <w:rsid w:val="0089031F"/>
    <w:rsid w:val="00897B30"/>
    <w:rsid w:val="008B661C"/>
    <w:rsid w:val="008C3441"/>
    <w:rsid w:val="008C66CC"/>
    <w:rsid w:val="008D2BE7"/>
    <w:rsid w:val="008D56AD"/>
    <w:rsid w:val="008D6644"/>
    <w:rsid w:val="008F6BE4"/>
    <w:rsid w:val="00900961"/>
    <w:rsid w:val="00907490"/>
    <w:rsid w:val="00931869"/>
    <w:rsid w:val="00934C53"/>
    <w:rsid w:val="009620E6"/>
    <w:rsid w:val="009645FF"/>
    <w:rsid w:val="009B407E"/>
    <w:rsid w:val="009F3269"/>
    <w:rsid w:val="009F42E8"/>
    <w:rsid w:val="00A10E71"/>
    <w:rsid w:val="00A364E8"/>
    <w:rsid w:val="00A670E2"/>
    <w:rsid w:val="00A71800"/>
    <w:rsid w:val="00AB0570"/>
    <w:rsid w:val="00AB0991"/>
    <w:rsid w:val="00AB42C0"/>
    <w:rsid w:val="00AB6241"/>
    <w:rsid w:val="00AE0623"/>
    <w:rsid w:val="00B022D2"/>
    <w:rsid w:val="00B7003F"/>
    <w:rsid w:val="00B82C8F"/>
    <w:rsid w:val="00BB214F"/>
    <w:rsid w:val="00BE09D4"/>
    <w:rsid w:val="00BF4F26"/>
    <w:rsid w:val="00C0079B"/>
    <w:rsid w:val="00C33498"/>
    <w:rsid w:val="00C34BBD"/>
    <w:rsid w:val="00C7649D"/>
    <w:rsid w:val="00C77C04"/>
    <w:rsid w:val="00C87699"/>
    <w:rsid w:val="00C97F08"/>
    <w:rsid w:val="00CC0B86"/>
    <w:rsid w:val="00CC25FD"/>
    <w:rsid w:val="00CD1BD4"/>
    <w:rsid w:val="00CF0BBA"/>
    <w:rsid w:val="00CF4B34"/>
    <w:rsid w:val="00D219B8"/>
    <w:rsid w:val="00D53D03"/>
    <w:rsid w:val="00D5630F"/>
    <w:rsid w:val="00D61406"/>
    <w:rsid w:val="00D63A51"/>
    <w:rsid w:val="00D716F3"/>
    <w:rsid w:val="00D862E6"/>
    <w:rsid w:val="00D9034F"/>
    <w:rsid w:val="00D9058E"/>
    <w:rsid w:val="00DB0CFD"/>
    <w:rsid w:val="00DB4953"/>
    <w:rsid w:val="00DB54C7"/>
    <w:rsid w:val="00DC68CD"/>
    <w:rsid w:val="00DE03BD"/>
    <w:rsid w:val="00DE1AAE"/>
    <w:rsid w:val="00DF373D"/>
    <w:rsid w:val="00E35EA3"/>
    <w:rsid w:val="00E52BC8"/>
    <w:rsid w:val="00E742F7"/>
    <w:rsid w:val="00E76803"/>
    <w:rsid w:val="00E91758"/>
    <w:rsid w:val="00EA2CB1"/>
    <w:rsid w:val="00EB4C7F"/>
    <w:rsid w:val="00EC4778"/>
    <w:rsid w:val="00ED64E4"/>
    <w:rsid w:val="00ED739A"/>
    <w:rsid w:val="00EF705F"/>
    <w:rsid w:val="00F15685"/>
    <w:rsid w:val="00F30E1D"/>
    <w:rsid w:val="00F32A4B"/>
    <w:rsid w:val="00F35211"/>
    <w:rsid w:val="00F37384"/>
    <w:rsid w:val="00F666D3"/>
    <w:rsid w:val="00F74AFC"/>
    <w:rsid w:val="00F75D22"/>
    <w:rsid w:val="00F779D4"/>
    <w:rsid w:val="00F860A4"/>
    <w:rsid w:val="00F86862"/>
    <w:rsid w:val="00F91237"/>
    <w:rsid w:val="00F965E2"/>
    <w:rsid w:val="00FC5A01"/>
    <w:rsid w:val="00FD187A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D294"/>
  <w15:docId w15:val="{7E4C9DFF-94BA-4C63-84EF-68C3217D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86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nr,Alpha list"/>
    <w:basedOn w:val="Normalny"/>
    <w:link w:val="AkapitzlistZnak"/>
    <w:uiPriority w:val="34"/>
    <w:qFormat/>
    <w:rsid w:val="00F86862"/>
    <w:pPr>
      <w:spacing w:after="0" w:line="240" w:lineRule="auto"/>
      <w:ind w:left="720"/>
      <w:contextualSpacing/>
    </w:pPr>
    <w:rPr>
      <w:rFonts w:ascii="Verdana" w:eastAsia="Times New Roman" w:hAnsi="Verdana"/>
      <w:color w:val="4864A7"/>
      <w:sz w:val="24"/>
      <w:szCs w:val="24"/>
      <w:lang w:eastAsia="pl-PL"/>
    </w:rPr>
  </w:style>
  <w:style w:type="paragraph" w:customStyle="1" w:styleId="punkt1">
    <w:name w:val="punkt 1)"/>
    <w:rsid w:val="00F86862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10" w:lineRule="atLeast"/>
      <w:ind w:left="56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FontStyle25">
    <w:name w:val="Font Style25"/>
    <w:uiPriority w:val="99"/>
    <w:rsid w:val="00F86862"/>
    <w:rPr>
      <w:rFonts w:ascii="Arial Narrow" w:hAnsi="Arial Narrow" w:cs="Arial Narrow" w:hint="default"/>
      <w:color w:val="000000"/>
      <w:sz w:val="20"/>
      <w:szCs w:val="20"/>
    </w:rPr>
  </w:style>
  <w:style w:type="character" w:customStyle="1" w:styleId="AkapitzlistZnak">
    <w:name w:val="Akapit z listą Znak"/>
    <w:aliases w:val="normalny tekst Znak,Akapit z nr Znak,Alpha list Znak"/>
    <w:link w:val="Akapitzlist"/>
    <w:uiPriority w:val="34"/>
    <w:locked/>
    <w:rsid w:val="00715368"/>
    <w:rPr>
      <w:rFonts w:ascii="Verdana" w:eastAsia="Times New Roman" w:hAnsi="Verdana" w:cs="Times New Roman"/>
      <w:color w:val="4864A7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1E1D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1E1D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1E1D1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D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D1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D14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CC0B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x-589735d24a-msonormal">
    <w:name w:val="ox-589735d24a-msonormal"/>
    <w:basedOn w:val="Normalny"/>
    <w:uiPriority w:val="99"/>
    <w:rsid w:val="00BB214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B214F"/>
    <w:rPr>
      <w:i/>
      <w:iCs/>
    </w:rPr>
  </w:style>
  <w:style w:type="paragraph" w:styleId="Tekstpodstawowywcity">
    <w:name w:val="Body Text Indent"/>
    <w:basedOn w:val="Normalny"/>
    <w:link w:val="TekstpodstawowywcityZnak"/>
    <w:rsid w:val="007754E5"/>
    <w:pPr>
      <w:tabs>
        <w:tab w:val="left" w:pos="1080"/>
      </w:tabs>
      <w:spacing w:after="0" w:line="240" w:lineRule="auto"/>
      <w:ind w:left="1080" w:hanging="1080"/>
      <w:jc w:val="both"/>
    </w:pPr>
    <w:rPr>
      <w:rFonts w:ascii="PL Technical" w:eastAsia="Times New Roman" w:hAnsi="PL Technical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54E5"/>
    <w:rPr>
      <w:rFonts w:ascii="PL Technical" w:eastAsia="Times New Roman" w:hAnsi="PL Technical" w:cs="Times New Roman"/>
      <w:sz w:val="28"/>
      <w:szCs w:val="24"/>
      <w:lang w:eastAsia="pl-PL"/>
    </w:rPr>
  </w:style>
  <w:style w:type="paragraph" w:styleId="Poprawka">
    <w:name w:val="Revision"/>
    <w:hidden/>
    <w:uiPriority w:val="99"/>
    <w:semiHidden/>
    <w:rsid w:val="00A7180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7A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7A75"/>
    <w:rPr>
      <w:rFonts w:ascii="Calibri" w:eastAsia="Calibri" w:hAnsi="Calibri" w:cs="Times New Roman"/>
    </w:rPr>
  </w:style>
  <w:style w:type="character" w:customStyle="1" w:styleId="cf01">
    <w:name w:val="cf01"/>
    <w:basedOn w:val="Domylnaczcionkaakapitu"/>
    <w:rsid w:val="00D862E6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897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">
    <w:name w:val="punkt"/>
    <w:basedOn w:val="Normalny"/>
    <w:rsid w:val="00EB4C7F"/>
    <w:pPr>
      <w:spacing w:before="240" w:after="120" w:line="240" w:lineRule="auto"/>
      <w:ind w:left="720" w:hanging="72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EB4C7F"/>
  </w:style>
  <w:style w:type="paragraph" w:styleId="Nagwek">
    <w:name w:val="header"/>
    <w:basedOn w:val="Normalny"/>
    <w:link w:val="NagwekZnak"/>
    <w:uiPriority w:val="99"/>
    <w:unhideWhenUsed/>
    <w:rsid w:val="00192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23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92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3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6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2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090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46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5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344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22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2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3819B-A53D-47E8-B8B3-E5FFBFBD7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888</Words>
  <Characters>5329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Kardasz</dc:creator>
  <cp:lastModifiedBy>Emilia Białko</cp:lastModifiedBy>
  <cp:revision>2</cp:revision>
  <cp:lastPrinted>2023-07-03T08:40:00Z</cp:lastPrinted>
  <dcterms:created xsi:type="dcterms:W3CDTF">2025-01-15T08:10:00Z</dcterms:created>
  <dcterms:modified xsi:type="dcterms:W3CDTF">2025-01-15T08:10:00Z</dcterms:modified>
</cp:coreProperties>
</file>