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….</w:t>
      </w:r>
      <w:r w:rsidR="00A61DCD">
        <w:rPr>
          <w:rFonts w:ascii="Arial" w:hAnsi="Arial" w:cs="Arial"/>
          <w:sz w:val="20"/>
          <w:szCs w:val="20"/>
        </w:rPr>
        <w:t>/202</w:t>
      </w:r>
      <w:r w:rsidR="00C017E7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1DCD">
        <w:rPr>
          <w:rFonts w:ascii="Arial" w:hAnsi="Arial" w:cs="Arial"/>
          <w:sz w:val="20"/>
          <w:szCs w:val="20"/>
        </w:rPr>
        <w:t>202</w:t>
      </w:r>
      <w:r w:rsidR="00C017E7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CE042F" w:rsidRPr="00A61DCD" w:rsidRDefault="00CE042F" w:rsidP="00C017E7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61DCD">
        <w:rPr>
          <w:rFonts w:ascii="Arial" w:hAnsi="Arial" w:cs="Arial"/>
          <w:b/>
          <w:sz w:val="20"/>
          <w:szCs w:val="20"/>
        </w:rPr>
        <w:t>„</w:t>
      </w:r>
      <w:r w:rsidR="008A0555">
        <w:rPr>
          <w:rFonts w:ascii="Arial" w:hAnsi="Arial" w:cs="Arial"/>
          <w:b/>
          <w:sz w:val="20"/>
          <w:szCs w:val="20"/>
        </w:rPr>
        <w:t xml:space="preserve">Zakup i dostawa </w:t>
      </w:r>
      <w:r w:rsidR="002F71C3">
        <w:rPr>
          <w:rFonts w:ascii="Arial" w:hAnsi="Arial" w:cs="Arial"/>
          <w:b/>
          <w:sz w:val="20"/>
          <w:szCs w:val="20"/>
        </w:rPr>
        <w:t xml:space="preserve">sprzętu i osprzętu informatycznego. Cz. </w:t>
      </w:r>
      <w:r w:rsidR="00C017E7">
        <w:rPr>
          <w:rFonts w:ascii="Arial" w:hAnsi="Arial" w:cs="Arial"/>
          <w:b/>
          <w:sz w:val="20"/>
          <w:szCs w:val="20"/>
        </w:rPr>
        <w:t xml:space="preserve">II </w:t>
      </w:r>
      <w:r w:rsidR="00C017E7" w:rsidRPr="00C017E7">
        <w:rPr>
          <w:rFonts w:ascii="Arial" w:hAnsi="Arial" w:cs="Arial"/>
          <w:b/>
          <w:sz w:val="20"/>
          <w:szCs w:val="20"/>
        </w:rPr>
        <w:t xml:space="preserve">Zakup i dostawa urządzeń </w:t>
      </w:r>
      <w:r w:rsidR="00C017E7">
        <w:rPr>
          <w:rFonts w:ascii="Arial" w:hAnsi="Arial" w:cs="Arial"/>
          <w:b/>
          <w:sz w:val="20"/>
          <w:szCs w:val="20"/>
        </w:rPr>
        <w:t>w</w:t>
      </w:r>
      <w:r w:rsidR="00C017E7" w:rsidRPr="00C017E7">
        <w:rPr>
          <w:rFonts w:ascii="Arial" w:hAnsi="Arial" w:cs="Arial"/>
          <w:b/>
          <w:sz w:val="20"/>
          <w:szCs w:val="20"/>
        </w:rPr>
        <w:t xml:space="preserve">ielofunkcyjnych na potrzeby instytucji będących na zaopatrzeniu Jednostki Wojskowej </w:t>
      </w:r>
      <w:r w:rsidR="00A37F47">
        <w:rPr>
          <w:rFonts w:ascii="Arial" w:hAnsi="Arial" w:cs="Arial"/>
          <w:b/>
          <w:sz w:val="20"/>
          <w:szCs w:val="20"/>
        </w:rPr>
        <w:br/>
      </w:r>
      <w:r w:rsidR="00C017E7" w:rsidRPr="00C017E7">
        <w:rPr>
          <w:rFonts w:ascii="Arial" w:hAnsi="Arial" w:cs="Arial"/>
          <w:b/>
          <w:sz w:val="20"/>
          <w:szCs w:val="20"/>
        </w:rPr>
        <w:t>Nr 2063.</w:t>
      </w:r>
      <w:r w:rsidR="00A22B3F">
        <w:rPr>
          <w:rFonts w:ascii="Arial" w:hAnsi="Arial" w:cs="Arial"/>
          <w:b/>
          <w:sz w:val="20"/>
          <w:szCs w:val="20"/>
        </w:rPr>
        <w:t>”.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44712E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E4B" w:rsidRDefault="00644E4B" w:rsidP="00DA782C">
      <w:pPr>
        <w:spacing w:after="0" w:line="240" w:lineRule="auto"/>
      </w:pPr>
      <w:r>
        <w:separator/>
      </w:r>
    </w:p>
  </w:endnote>
  <w:endnote w:type="continuationSeparator" w:id="0">
    <w:p w:rsidR="00644E4B" w:rsidRDefault="00644E4B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DF6" w:rsidRDefault="009B4D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DF6" w:rsidRDefault="009B4D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DF6" w:rsidRDefault="009B4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E4B" w:rsidRDefault="00644E4B" w:rsidP="00DA782C">
      <w:pPr>
        <w:spacing w:after="0" w:line="240" w:lineRule="auto"/>
      </w:pPr>
      <w:r>
        <w:separator/>
      </w:r>
    </w:p>
  </w:footnote>
  <w:footnote w:type="continuationSeparator" w:id="0">
    <w:p w:rsidR="00644E4B" w:rsidRDefault="00644E4B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DF6" w:rsidRDefault="009B4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A61DCD" w:rsidRPr="00BB2056" w:rsidRDefault="00BB2056" w:rsidP="00A61DCD">
          <w:pPr>
            <w:pStyle w:val="Nagwek"/>
            <w:jc w:val="right"/>
            <w:rPr>
              <w:rFonts w:ascii="Arial" w:hAnsi="Arial" w:cs="Arial"/>
              <w:noProof/>
              <w:sz w:val="20"/>
              <w:lang w:eastAsia="pl-PL"/>
            </w:rPr>
          </w:pPr>
          <w:r w:rsidRPr="00BB2056"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DD0F25">
            <w:rPr>
              <w:rFonts w:ascii="Arial" w:hAnsi="Arial" w:cs="Arial"/>
              <w:noProof/>
              <w:sz w:val="20"/>
              <w:lang w:eastAsia="pl-PL"/>
            </w:rPr>
            <w:t>5.</w:t>
          </w:r>
          <w:r w:rsidRPr="00BB2056">
            <w:rPr>
              <w:rFonts w:ascii="Arial" w:hAnsi="Arial" w:cs="Arial"/>
              <w:noProof/>
              <w:sz w:val="20"/>
              <w:lang w:eastAsia="pl-PL"/>
            </w:rPr>
            <w:t>7</w:t>
          </w:r>
          <w:r w:rsidR="009B4DF6">
            <w:rPr>
              <w:rFonts w:ascii="Arial" w:hAnsi="Arial" w:cs="Arial"/>
              <w:noProof/>
              <w:sz w:val="20"/>
              <w:lang w:eastAsia="pl-PL"/>
            </w:rPr>
            <w:t>.2</w:t>
          </w:r>
          <w:r w:rsidRPr="00BB2056">
            <w:rPr>
              <w:rFonts w:ascii="Arial" w:hAnsi="Arial" w:cs="Arial"/>
              <w:noProof/>
              <w:sz w:val="20"/>
              <w:lang w:eastAsia="pl-PL"/>
            </w:rPr>
            <w:t xml:space="preserve"> do </w:t>
          </w:r>
          <w:r w:rsidR="00DD0F25">
            <w:rPr>
              <w:rFonts w:ascii="Arial" w:hAnsi="Arial" w:cs="Arial"/>
              <w:noProof/>
              <w:sz w:val="20"/>
              <w:lang w:eastAsia="pl-PL"/>
            </w:rPr>
            <w:t>SWZ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DF6" w:rsidRDefault="009B4D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27F20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75860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2F71C3"/>
    <w:rsid w:val="003277C3"/>
    <w:rsid w:val="00365B33"/>
    <w:rsid w:val="003830E6"/>
    <w:rsid w:val="00385A3F"/>
    <w:rsid w:val="003B5479"/>
    <w:rsid w:val="003D7477"/>
    <w:rsid w:val="003E13A5"/>
    <w:rsid w:val="00402850"/>
    <w:rsid w:val="004255ED"/>
    <w:rsid w:val="004321D3"/>
    <w:rsid w:val="004332D7"/>
    <w:rsid w:val="0044712E"/>
    <w:rsid w:val="004A42B6"/>
    <w:rsid w:val="005124E7"/>
    <w:rsid w:val="00527EE0"/>
    <w:rsid w:val="00537C26"/>
    <w:rsid w:val="00557844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44E4B"/>
    <w:rsid w:val="00656617"/>
    <w:rsid w:val="00684E81"/>
    <w:rsid w:val="006A25E1"/>
    <w:rsid w:val="006A2EBA"/>
    <w:rsid w:val="006D12C9"/>
    <w:rsid w:val="006D4391"/>
    <w:rsid w:val="00724F9F"/>
    <w:rsid w:val="00780DC6"/>
    <w:rsid w:val="00790A39"/>
    <w:rsid w:val="007973F7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26086"/>
    <w:rsid w:val="008408FD"/>
    <w:rsid w:val="008630C5"/>
    <w:rsid w:val="008932E6"/>
    <w:rsid w:val="008976F4"/>
    <w:rsid w:val="008A0555"/>
    <w:rsid w:val="008C1951"/>
    <w:rsid w:val="008D5816"/>
    <w:rsid w:val="00905BA2"/>
    <w:rsid w:val="00935405"/>
    <w:rsid w:val="0094147B"/>
    <w:rsid w:val="0094693D"/>
    <w:rsid w:val="00947B2F"/>
    <w:rsid w:val="00954332"/>
    <w:rsid w:val="009613A2"/>
    <w:rsid w:val="009A1D36"/>
    <w:rsid w:val="009B0358"/>
    <w:rsid w:val="009B4DF6"/>
    <w:rsid w:val="009B6F2F"/>
    <w:rsid w:val="009E1E94"/>
    <w:rsid w:val="009E2E7B"/>
    <w:rsid w:val="009E525B"/>
    <w:rsid w:val="00A22B3F"/>
    <w:rsid w:val="00A37F47"/>
    <w:rsid w:val="00A40E10"/>
    <w:rsid w:val="00A4168E"/>
    <w:rsid w:val="00A523BB"/>
    <w:rsid w:val="00A549F6"/>
    <w:rsid w:val="00A61DCD"/>
    <w:rsid w:val="00A66445"/>
    <w:rsid w:val="00A92FBB"/>
    <w:rsid w:val="00A963BB"/>
    <w:rsid w:val="00AB7281"/>
    <w:rsid w:val="00AF78E8"/>
    <w:rsid w:val="00B00B25"/>
    <w:rsid w:val="00B049A4"/>
    <w:rsid w:val="00B12E5F"/>
    <w:rsid w:val="00B4299C"/>
    <w:rsid w:val="00B56FDD"/>
    <w:rsid w:val="00BA0ED5"/>
    <w:rsid w:val="00BA3D72"/>
    <w:rsid w:val="00BA6ECC"/>
    <w:rsid w:val="00BB09C3"/>
    <w:rsid w:val="00BB2056"/>
    <w:rsid w:val="00BC7CCC"/>
    <w:rsid w:val="00BF1891"/>
    <w:rsid w:val="00C017E7"/>
    <w:rsid w:val="00C412FC"/>
    <w:rsid w:val="00C477FB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D0F25"/>
    <w:rsid w:val="00DE14CD"/>
    <w:rsid w:val="00E333EE"/>
    <w:rsid w:val="00E51E1D"/>
    <w:rsid w:val="00E73257"/>
    <w:rsid w:val="00EC50A3"/>
    <w:rsid w:val="00EC756B"/>
    <w:rsid w:val="00ED12A8"/>
    <w:rsid w:val="00EF23EF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4F4EE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91CAEB-1FBD-4E47-B7FB-35F7106F8A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10</cp:revision>
  <cp:lastPrinted>2025-05-15T08:12:00Z</cp:lastPrinted>
  <dcterms:created xsi:type="dcterms:W3CDTF">2024-09-20T11:38:00Z</dcterms:created>
  <dcterms:modified xsi:type="dcterms:W3CDTF">2025-05-23T10:58:00Z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10.11.194.119</vt:lpwstr>
  </property>
  <property fmtid="{D5CDD505-2E9C-101B-9397-08002B2CF9AE}" pid="11" name="bjPortionMark">
    <vt:lpwstr>[]</vt:lpwstr>
  </property>
</Properties>
</file>