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8D" w:rsidRPr="00E24B0B" w:rsidRDefault="00B41A41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Białystok, dn. 23.05.2025</w:t>
      </w:r>
      <w:r w:rsidR="008D72AE" w:rsidRPr="00E24B0B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8D72AE" w:rsidRPr="00E24B0B" w:rsidRDefault="00E6568D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E24B0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41A41">
        <w:rPr>
          <w:rFonts w:asciiTheme="minorHAnsi" w:hAnsiTheme="minorHAnsi" w:cstheme="minorHAnsi"/>
          <w:color w:val="000000"/>
          <w:sz w:val="22"/>
          <w:szCs w:val="22"/>
        </w:rPr>
        <w:t>r sprawy: AZP.25.1.1</w:t>
      </w:r>
      <w:r w:rsidR="00FC6E3E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B41A41">
        <w:rPr>
          <w:rFonts w:asciiTheme="minorHAnsi" w:hAnsiTheme="minorHAnsi" w:cstheme="minorHAnsi"/>
          <w:color w:val="000000"/>
          <w:sz w:val="22"/>
          <w:szCs w:val="22"/>
        </w:rPr>
        <w:t>.2025</w:t>
      </w:r>
    </w:p>
    <w:p w:rsidR="00E6568D" w:rsidRPr="00E24B0B" w:rsidRDefault="00E6568D" w:rsidP="00E6568D">
      <w:pPr>
        <w:tabs>
          <w:tab w:val="left" w:pos="0"/>
        </w:tabs>
        <w:spacing w:after="0" w:line="360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E24B0B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WYJAŚNIENIA I ZMIANA TREŚCI SWZ</w:t>
      </w:r>
    </w:p>
    <w:p w:rsidR="00E6568D" w:rsidRPr="00B41A41" w:rsidRDefault="00E6568D" w:rsidP="00B41A41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bCs/>
          <w:color w:val="auto"/>
          <w:sz w:val="22"/>
          <w:lang w:eastAsia="en-US"/>
        </w:rPr>
      </w:pPr>
      <w:r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Zamawiający informuje, iż w postępowaniu</w:t>
      </w:r>
      <w:r w:rsidR="000246E5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prowadzonym w trybie przetargu </w:t>
      </w:r>
      <w:r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nieograniczonego </w:t>
      </w:r>
      <w:r w:rsidRPr="00BE5E0C">
        <w:rPr>
          <w:rFonts w:asciiTheme="minorHAnsi" w:hAnsiTheme="minorHAnsi" w:cstheme="minorHAnsi"/>
          <w:color w:val="auto"/>
          <w:sz w:val="22"/>
          <w:lang w:eastAsia="en-US"/>
        </w:rPr>
        <w:t>na dostawę</w:t>
      </w:r>
      <w:r w:rsidR="00B41A41" w:rsidRPr="00B41A41">
        <w:rPr>
          <w:rFonts w:ascii="Calibri" w:hAnsi="Calibri" w:cs="Calibri"/>
          <w:b/>
          <w:bCs/>
          <w:color w:val="7030A0"/>
          <w:sz w:val="22"/>
        </w:rPr>
        <w:t xml:space="preserve"> </w:t>
      </w:r>
      <w:r w:rsidR="00B41A41" w:rsidRPr="00B41A41">
        <w:rPr>
          <w:rFonts w:asciiTheme="minorHAnsi" w:hAnsiTheme="minorHAnsi" w:cstheme="minorHAnsi"/>
          <w:b/>
          <w:bCs/>
          <w:color w:val="auto"/>
          <w:sz w:val="22"/>
          <w:lang w:eastAsia="en-US"/>
        </w:rPr>
        <w:t>urządzeń i aparatury do Jednostek Organizacyjnych UMB wraz z transportem, rozładunkiem, wniesieniem, zamontowaniem, dostarczeniem instrukcji stanowiskowej i jej wdrożeniem, serwisowaniem i gwarancją, z podziałem na 7 części</w:t>
      </w:r>
      <w:r w:rsidRPr="00B41A41">
        <w:rPr>
          <w:rFonts w:asciiTheme="minorHAnsi" w:hAnsiTheme="minorHAnsi" w:cstheme="minorHAnsi"/>
          <w:color w:val="auto"/>
          <w:sz w:val="22"/>
          <w:lang w:val="cs-CZ"/>
        </w:rPr>
        <w:t xml:space="preserve">, </w:t>
      </w:r>
      <w:r w:rsidRPr="00B41A41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od u</w:t>
      </w:r>
      <w:r w:rsidR="003B7F17" w:rsidRPr="00B41A41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czestników postępowania wpłynęły zapytania</w:t>
      </w:r>
      <w:r w:rsidRPr="00B41A41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do treści SWZ. </w:t>
      </w:r>
    </w:p>
    <w:p w:rsidR="00E6568D" w:rsidRPr="00FC6E3E" w:rsidRDefault="00915692" w:rsidP="000246E5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Zgodnie z art. 135 ust. 6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ustawy z dnia 11 września 2019 r. Prawo zamówień </w:t>
      </w:r>
      <w:r w:rsidR="000246E5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publicznych (t. j. Dz. U. z 2023 r., poz. 1605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) - zwanej dalej ustawą Pzp,</w:t>
      </w:r>
      <w:r w:rsidR="00E6568D" w:rsidRPr="00BE5E0C">
        <w:rPr>
          <w:rFonts w:asciiTheme="minorHAnsi" w:eastAsia="Times" w:hAnsiTheme="minorHAnsi" w:cstheme="minorHAnsi"/>
          <w:bCs/>
          <w:iCs/>
          <w:color w:val="auto"/>
          <w:sz w:val="22"/>
          <w:lang w:val="it-IT" w:eastAsia="it-IT"/>
        </w:rPr>
        <w:t xml:space="preserve"> 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Zamaw</w:t>
      </w:r>
      <w:r w:rsidR="003B7F17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iający publikuje treść zapytań</w:t>
      </w:r>
      <w:r w:rsidR="00E6568D" w:rsidRPr="00BE5E0C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i udziela następujących wyjaśnień: </w:t>
      </w:r>
      <w:r w:rsidR="00E6568D" w:rsidRPr="00BE5E0C">
        <w:rPr>
          <w:rFonts w:asciiTheme="minorHAnsi" w:hAnsiTheme="minorHAnsi" w:cstheme="minorHAnsi"/>
          <w:color w:val="auto"/>
          <w:sz w:val="22"/>
          <w:lang w:eastAsia="en-US"/>
        </w:rPr>
        <w:tab/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Część nr 2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1.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wyraża zgodę na zaoferowanie urządzenia z laserem czerwonym o długości fali 638nm?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2.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wyraża zgodę na zaoferowanie urządzenia prezentującego dane w rozdzielczości 22 bitów?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3.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wyraża zgodę na zaoferowanie urządzenia o wadze 30 kg?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podtrzymuje wymogi zawarte w SWZ. Celem jest utworzenie laboratorium, które jest do pewnego stopnia mobilne - tak, aby część analiz można było powtórzyć w innym laboratorium, z użyciem innego zestawu odczynników i materiału biologicznego. Ta funkcja zostanie zapewniona przez cy</w:t>
      </w:r>
      <w:r>
        <w:rPr>
          <w:rFonts w:asciiTheme="minorHAnsi" w:hAnsiTheme="minorHAnsi" w:cstheme="minorHAnsi"/>
          <w:color w:val="auto"/>
          <w:sz w:val="22"/>
          <w:lang w:val="cs-CZ"/>
        </w:rPr>
        <w:t>tometr, którego waga, wg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 xml:space="preserve"> analiz</w:t>
      </w:r>
      <w:r>
        <w:rPr>
          <w:rFonts w:asciiTheme="minorHAnsi" w:hAnsiTheme="minorHAnsi" w:cstheme="minorHAnsi"/>
          <w:color w:val="auto"/>
          <w:sz w:val="22"/>
          <w:lang w:val="cs-CZ"/>
        </w:rPr>
        <w:t xml:space="preserve"> Zamawiającego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>, nie przekroczy 15 kg.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4.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Zwracamy się z prośbą o dopuszczenie w zakresie części nr 2 przedmiotowych środków dowodowych w języku angielskim tj. oryginalnych ulotek w jęz. angielskim (bez konieczności dołączenia tłumaczeń na j.polski). Oryginalna ulotka zawiera szeroki i wyczerpujący opis, które w sposób dosłowny nie są tłumaczone na język polski).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5.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 xml:space="preserve">Prosimy o dopuszczenie w zakresie części nr 2 dostarczenia wraz z dostawą instrukcji obsługi w języku angielskim drogą mailową. Zgodnie z obowiązującym prawodawstwem 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lastRenderedPageBreak/>
        <w:t>dopuszcza się, aby wyroby (sprzęt naukowy) przeznaczone do używania na terytorium Rzeczypospolitej Polskiej, dostarczane profesjonalnym użytkownikom, miały instrukcje używania w języku angielskim. Zwracamy się również z prośbą o wskazanie adresu mailowego, na który będzie można przekazać instrukcję. Ze względu na politykę korporacyjną, liczne zabezpieczenia nie mamy możliwości dostarczenia instrukcji na nośniku pendrive lub płycie CD.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6.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Dotyczy wzoru umowy §1 ust.6. Zwracamy się z prośbą dodanie do istniejącego zapisu następującego zastrzeżenia, w przeciwnym razie Zamawiający będzie mógł obciążyć Wykonawcę kosztami za wszelkie uszkodzenia nie powstałe z winy wykonawcy. „Wykonawca zobowiązany jest do zabezpieczenia przed zniszczeniem pomieszczeń w których będzie odbywać się dostawa i montaż wyposażenia określonego w przedmiocie zamówienia. Koszty napraw ewentualnych zniszczeń i uszkodzeń mienia Zamawiającego powstałych z winy wykonawcy w trakcie realizacji zamówienia ponosi Wykonawca”.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podtrzymuje wymogi zawarte w SWZ.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7.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Dotyczy wzoru umowy §8 ust. 1g. Zwracamy się z prośbą o zmniejszenia kary umownej za niewykonanie przeglądu gwarancyjnego do 0,5% wynagrodzenia za przedmiot umowy za każdy niewykonany przegląd: g. za niewykonanie przeglądu gwarancyjnego w okresie gwarancji (jeżeli dotyczy), Wykonawca zapłaci karę umowną w wysokości 0,5 wynagrodzenia za przedmiot umowy, którego przegląd dotyczy, za każdy niewykonany przegląd.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podtrzymuje wymogi zawarte w SWZ.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8.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Dotyczy załącznika nr 5 – WARUNKI GWARANCJI, RĘKOJMI I SERWISU GWARANCYJNEGO- dla części nr 2 - pkt. 3. Zwracamy się z prośbą o skrócenie okresu rękojmi na dostarczony przedmiot zamówienia do 12 m-cy (taki sam jak okres gwarancji).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podtrzymuje wymogi zawarte w SWZ.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9.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 xml:space="preserve">Dotyczy załącznika nr 5 – WARUNKI GWARANCJI, RĘKOJMI I SERWISU GWARANCYJNEGO dla części nr 2- pkt. 10 i 12. W związku z tym, że oferowany aparat serwisowany jest w centrum serwisowym w Belgii, zwracamy się z prośbą o wydłużenie terminu naprawy do max. 30 dni. Jednocześnie ze względu na niezawodność oferowanego urządzenia i niezwykle rzadkie przypadki konieczności wymiany/naprawy części, producent zdecydował się na formę zdalnego wsparcia serwisowego. W przypadku konieczności fizycznej naprawy czy wymiany podzespołu na nowy, na ten czas zapewniamy urządzenie zastępcze oraz odbiór i dostarczenie aparatu do centrum serwisowego. Prosimy o uwzględnienie powyższego i modyfikację zapisów ujętych w 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lastRenderedPageBreak/>
        <w:t>pkt. 10 i 12 załącznika nr 5. W przypadku pozytywnej odpowiedzi na pytanie numer 6 prosimy również o odpowiednią zmianę zapisów w załączniku nr 5, w punktach 4 i 5.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wyraża zgodę na wydłużenie terminu naprawy. Pozostałe wymogi zawarte w SWZ Zamawiający podtrzymuje.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10.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Dotyczy załącznika nr 5 – WARUNKI GWARANCJI, RĘKOJMI I SERWISU GWARANCYJNEGO dla części nr 2- pkt. 16. Prosimy o modyfikację zapisu zgodnie z poniższym: „Wykonawca umowy zapewni dostęp do części zamiennych i serwisu przez co najmniej 5 lat od daty podpisania bezusterkowego protokołu odbioru.”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Część nr 3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11.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wirówkę laboratoryjną o Max. RCF [x g] : 24 270 ?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12.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zrezygnuje z dostarczenia instrukcji stanowiskowej ? (w cenę wirówki wliczona jest instalacja i przeszkolenie personelu potwierdzone protokołem. Szczegółowy opis instalacji opisany jest w instrukcji obsługi)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podtrzymuje wymogi zawarte w SWZ.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13.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wirówkę o mocy 500 W ?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14.</w:t>
      </w:r>
      <w:r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dopuści rotor wychylny 4x 200 ml o RCF=4807 x g?</w:t>
      </w:r>
    </w:p>
    <w:p w:rsid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221CCB" w:rsidRDefault="00221CCB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lang w:val="cs-CZ"/>
        </w:rPr>
        <w:t xml:space="preserve">15. </w:t>
      </w:r>
      <w:r w:rsidRPr="00221CCB">
        <w:rPr>
          <w:rFonts w:asciiTheme="minorHAnsi" w:hAnsiTheme="minorHAnsi" w:cstheme="minorHAnsi"/>
          <w:color w:val="auto"/>
          <w:sz w:val="22"/>
          <w:lang w:val="cs-CZ"/>
        </w:rPr>
        <w:t>Prosimy o dopuszczenie wirówki z maksymalnym RCF 24 270 xg.</w:t>
      </w:r>
    </w:p>
    <w:p w:rsidR="00221CCB" w:rsidRPr="004D5487" w:rsidRDefault="00221CCB" w:rsidP="00221CCB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221CCB" w:rsidRDefault="00221CCB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lang w:val="cs-CZ"/>
        </w:rPr>
        <w:t xml:space="preserve">16. </w:t>
      </w:r>
      <w:r w:rsidRPr="00221CCB">
        <w:rPr>
          <w:rFonts w:asciiTheme="minorHAnsi" w:hAnsiTheme="minorHAnsi" w:cstheme="minorHAnsi"/>
          <w:color w:val="auto"/>
          <w:sz w:val="22"/>
          <w:lang w:val="cs-CZ"/>
        </w:rPr>
        <w:t>Prosimy o dopuszczenie wirówki o mocy 500W.</w:t>
      </w:r>
    </w:p>
    <w:p w:rsidR="00221CCB" w:rsidRDefault="00221CCB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221CCB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221CCB" w:rsidRPr="00221CCB" w:rsidRDefault="00221CCB" w:rsidP="00221CCB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lang w:val="cs-CZ"/>
        </w:rPr>
        <w:t xml:space="preserve">17. </w:t>
      </w:r>
      <w:r w:rsidRPr="00221CCB">
        <w:rPr>
          <w:rFonts w:asciiTheme="minorHAnsi" w:hAnsiTheme="minorHAnsi" w:cstheme="minorHAnsi"/>
          <w:color w:val="auto"/>
          <w:sz w:val="22"/>
          <w:lang w:val="cs-CZ"/>
        </w:rPr>
        <w:t>Prosimy o dopuszczenie wirówki z rotorem wychylnym o pojemności 4x200ml z odchyleniem</w:t>
      </w:r>
    </w:p>
    <w:p w:rsidR="00221CCB" w:rsidRDefault="00221CCB" w:rsidP="00221CCB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221CCB">
        <w:rPr>
          <w:rFonts w:asciiTheme="minorHAnsi" w:hAnsiTheme="minorHAnsi" w:cstheme="minorHAnsi"/>
          <w:color w:val="auto"/>
          <w:sz w:val="22"/>
          <w:lang w:val="cs-CZ"/>
        </w:rPr>
        <w:t>4807 xg.</w:t>
      </w:r>
    </w:p>
    <w:p w:rsidR="00221CCB" w:rsidRPr="004D5487" w:rsidRDefault="00221CCB" w:rsidP="00221CCB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221CCB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Część nr 7</w:t>
      </w:r>
    </w:p>
    <w:p w:rsidR="004D5487" w:rsidRPr="004D5487" w:rsidRDefault="00221CCB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lang w:val="cs-CZ"/>
        </w:rPr>
        <w:t>18</w:t>
      </w:r>
      <w:r w:rsidR="004D5487" w:rsidRPr="004D5487">
        <w:rPr>
          <w:rFonts w:asciiTheme="minorHAnsi" w:hAnsiTheme="minorHAnsi" w:cstheme="minorHAnsi"/>
          <w:color w:val="auto"/>
          <w:sz w:val="22"/>
          <w:lang w:val="cs-CZ"/>
        </w:rPr>
        <w:t>.</w:t>
      </w:r>
      <w:r w:rsidR="004D5487"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Czy Zamawiający odstąpi od konieczności wykonania instalacji i uruchomienia łaźni wodnej - część nr 7. Jest to urządzenie łatwe w obsłudze, a dodatkowa instalacja i uruchomienie stanowią znaczne koszty w stosunku do wartości przedmiotu zamówienia.</w:t>
      </w:r>
    </w:p>
    <w:p w:rsidR="004D5487" w:rsidRPr="004D5487" w:rsidRDefault="004D5487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lastRenderedPageBreak/>
        <w:t>Odpowiedź: Zamawiający odstąpi od konieczności wykonania instalacji i uruchomienia.</w:t>
      </w:r>
    </w:p>
    <w:p w:rsidR="004D5487" w:rsidRPr="004D5487" w:rsidRDefault="00221CCB" w:rsidP="004D5487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lang w:val="cs-CZ"/>
        </w:rPr>
        <w:t>19</w:t>
      </w:r>
      <w:r w:rsidR="004D5487" w:rsidRPr="004D5487">
        <w:rPr>
          <w:rFonts w:asciiTheme="minorHAnsi" w:hAnsiTheme="minorHAnsi" w:cstheme="minorHAnsi"/>
          <w:color w:val="auto"/>
          <w:sz w:val="22"/>
          <w:lang w:val="cs-CZ"/>
        </w:rPr>
        <w:t>.</w:t>
      </w:r>
      <w:r w:rsidR="004D5487" w:rsidRPr="004D5487">
        <w:rPr>
          <w:rFonts w:asciiTheme="minorHAnsi" w:hAnsiTheme="minorHAnsi" w:cstheme="minorHAnsi"/>
          <w:color w:val="auto"/>
          <w:sz w:val="22"/>
          <w:lang w:val="cs-CZ"/>
        </w:rPr>
        <w:tab/>
        <w:t>Prosimy o dopuszczenie łaźni wodnej z zaworem spustowy</w:t>
      </w:r>
      <w:r w:rsidR="004D5487">
        <w:rPr>
          <w:rFonts w:asciiTheme="minorHAnsi" w:hAnsiTheme="minorHAnsi" w:cstheme="minorHAnsi"/>
          <w:color w:val="auto"/>
          <w:sz w:val="22"/>
          <w:lang w:val="cs-CZ"/>
        </w:rPr>
        <w:t xml:space="preserve">m umiejscowionym z lewej strony </w:t>
      </w:r>
      <w:r w:rsidR="004D5487" w:rsidRPr="004D5487">
        <w:rPr>
          <w:rFonts w:asciiTheme="minorHAnsi" w:hAnsiTheme="minorHAnsi" w:cstheme="minorHAnsi"/>
          <w:color w:val="auto"/>
          <w:sz w:val="22"/>
          <w:lang w:val="cs-CZ"/>
        </w:rPr>
        <w:t>urządzenia lub na froncie urządzenia (umiejscowienie króćca do wyboru przez Zamawiającego).</w:t>
      </w:r>
    </w:p>
    <w:p w:rsidR="00FC6E3E" w:rsidRDefault="004D5487" w:rsidP="00B41A41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  <w:r w:rsidRPr="004D5487">
        <w:rPr>
          <w:rFonts w:asciiTheme="minorHAnsi" w:hAnsiTheme="minorHAnsi" w:cstheme="minorHAnsi"/>
          <w:color w:val="auto"/>
          <w:sz w:val="22"/>
          <w:lang w:val="cs-CZ"/>
        </w:rPr>
        <w:t>Odpowiedź: Zamawiający dopuszcza.</w:t>
      </w:r>
    </w:p>
    <w:p w:rsidR="00F869F0" w:rsidRPr="00BE5E0C" w:rsidRDefault="00F869F0" w:rsidP="00FC6E3E">
      <w:pPr>
        <w:suppressAutoHyphens/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  <w:lang w:val="cs-CZ"/>
        </w:rPr>
      </w:pPr>
    </w:p>
    <w:p w:rsidR="00F506A3" w:rsidRPr="00BE5E0C" w:rsidRDefault="00F506A3" w:rsidP="009C60BB">
      <w:pPr>
        <w:pStyle w:val="Akapitzlist"/>
        <w:numPr>
          <w:ilvl w:val="0"/>
          <w:numId w:val="6"/>
        </w:numPr>
        <w:spacing w:line="276" w:lineRule="auto"/>
        <w:ind w:left="709" w:hanging="709"/>
        <w:rPr>
          <w:rFonts w:asciiTheme="minorHAnsi" w:hAnsiTheme="minorHAnsi" w:cstheme="minorHAnsi"/>
          <w:bCs/>
          <w:sz w:val="22"/>
        </w:rPr>
      </w:pPr>
      <w:r w:rsidRPr="00BE5E0C">
        <w:rPr>
          <w:rFonts w:asciiTheme="minorHAnsi" w:hAnsiTheme="minorHAnsi" w:cstheme="minorHAnsi"/>
          <w:bCs/>
          <w:iCs/>
          <w:sz w:val="22"/>
          <w:lang w:val="it-IT"/>
        </w:rPr>
        <w:t>Zgodnie z art.</w:t>
      </w:r>
      <w:r w:rsidR="00D20A6F" w:rsidRPr="00BE5E0C">
        <w:rPr>
          <w:rFonts w:asciiTheme="minorHAnsi" w:hAnsiTheme="minorHAnsi" w:cstheme="minorHAnsi"/>
          <w:sz w:val="22"/>
        </w:rPr>
        <w:t xml:space="preserve"> </w:t>
      </w:r>
      <w:r w:rsidR="00F869F0">
        <w:rPr>
          <w:rFonts w:asciiTheme="minorHAnsi" w:hAnsiTheme="minorHAnsi" w:cstheme="minorHAnsi"/>
          <w:bCs/>
          <w:iCs/>
          <w:sz w:val="22"/>
          <w:lang w:val="it-IT"/>
        </w:rPr>
        <w:t>137 ust. 1</w:t>
      </w:r>
      <w:r w:rsidR="00BE5E0C">
        <w:rPr>
          <w:rFonts w:asciiTheme="minorHAnsi" w:hAnsiTheme="minorHAnsi" w:cstheme="minorHAnsi"/>
          <w:bCs/>
          <w:iCs/>
          <w:sz w:val="22"/>
          <w:lang w:val="it-IT"/>
        </w:rPr>
        <w:t xml:space="preserve"> </w:t>
      </w:r>
      <w:r w:rsidR="00D20A6F" w:rsidRPr="00BE5E0C">
        <w:rPr>
          <w:rFonts w:asciiTheme="minorHAnsi" w:hAnsiTheme="minorHAnsi" w:cstheme="minorHAnsi"/>
          <w:bCs/>
          <w:iCs/>
          <w:sz w:val="22"/>
          <w:lang w:val="it-IT"/>
        </w:rPr>
        <w:t>u</w:t>
      </w:r>
      <w:r w:rsidR="00720485" w:rsidRPr="00BE5E0C">
        <w:rPr>
          <w:rFonts w:asciiTheme="minorHAnsi" w:hAnsiTheme="minorHAnsi" w:cstheme="minorHAnsi"/>
          <w:bCs/>
          <w:iCs/>
          <w:sz w:val="22"/>
          <w:lang w:val="it-IT"/>
        </w:rPr>
        <w:t>stawy Pzp</w:t>
      </w:r>
      <w:r w:rsidRPr="00BE5E0C">
        <w:rPr>
          <w:rFonts w:asciiTheme="minorHAnsi" w:hAnsiTheme="minorHAnsi" w:cstheme="minorHAnsi"/>
          <w:bCs/>
          <w:iCs/>
          <w:sz w:val="22"/>
          <w:lang w:val="it-IT"/>
        </w:rPr>
        <w:t>, Zamawiaj</w:t>
      </w:r>
      <w:r w:rsidR="00D20A6F" w:rsidRPr="00BE5E0C">
        <w:rPr>
          <w:rFonts w:asciiTheme="minorHAnsi" w:hAnsiTheme="minorHAnsi" w:cstheme="minorHAnsi"/>
          <w:bCs/>
          <w:iCs/>
          <w:sz w:val="22"/>
          <w:lang w:val="it-IT"/>
        </w:rPr>
        <w:t>ący wprowadza zmiany w treści S</w:t>
      </w:r>
      <w:r w:rsidRPr="00BE5E0C">
        <w:rPr>
          <w:rFonts w:asciiTheme="minorHAnsi" w:hAnsiTheme="minorHAnsi" w:cstheme="minorHAnsi"/>
          <w:bCs/>
          <w:iCs/>
          <w:sz w:val="22"/>
          <w:lang w:val="it-IT"/>
        </w:rPr>
        <w:t>WZ j.n.:</w:t>
      </w:r>
    </w:p>
    <w:p w:rsidR="0023046C" w:rsidRDefault="00BE5E0C" w:rsidP="0023046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E5E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="004D548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części nr 2, 3, 7 – nowe </w:t>
      </w:r>
      <w:r w:rsidR="0023046C" w:rsidRPr="00BE5E0C">
        <w:rPr>
          <w:rFonts w:asciiTheme="minorHAnsi" w:hAnsiTheme="minorHAnsi" w:cstheme="minorHAnsi"/>
          <w:bCs/>
          <w:color w:val="auto"/>
          <w:sz w:val="22"/>
          <w:szCs w:val="22"/>
        </w:rPr>
        <w:t>załącznik</w:t>
      </w:r>
      <w:r w:rsidR="004D5487">
        <w:rPr>
          <w:rFonts w:asciiTheme="minorHAnsi" w:hAnsiTheme="minorHAnsi" w:cstheme="minorHAnsi"/>
          <w:bCs/>
          <w:color w:val="auto"/>
          <w:sz w:val="22"/>
          <w:szCs w:val="22"/>
        </w:rPr>
        <w:t>i dotyczące Opisu przedmiotu zamówienia</w:t>
      </w:r>
      <w:r w:rsidR="0023046C" w:rsidRPr="00BE5E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4D548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(tj. załącznik nr 2, 4, 5, 6 do SWZ) – dokumenty w załączeniu. </w:t>
      </w:r>
    </w:p>
    <w:p w:rsidR="00F869F0" w:rsidRPr="00BE5E0C" w:rsidRDefault="00F869F0" w:rsidP="0023046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E6568D" w:rsidRPr="00BE5E0C" w:rsidRDefault="00E6568D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IV.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 xml:space="preserve">Wyjaśnienia </w:t>
      </w:r>
      <w:r w:rsidR="00A31852"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i zmiany 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są wiążące dla Wykonawców i Zamawiającego. </w:t>
      </w:r>
    </w:p>
    <w:p w:rsidR="00E6568D" w:rsidRPr="00BE5E0C" w:rsidRDefault="00E6568D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V.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Pozostałe zapisy SWZ bez zmian.</w:t>
      </w:r>
    </w:p>
    <w:p w:rsidR="00E6568D" w:rsidRDefault="00E6568D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VI.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 xml:space="preserve">Zamawiający informuje, że dokonane wyjaśnienia </w:t>
      </w:r>
      <w:r w:rsidR="00E24B0B"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i zmiany </w:t>
      </w:r>
      <w:r w:rsidR="00BE5E0C"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>treści SWZ</w:t>
      </w:r>
      <w:r w:rsidR="00FC6E3E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nie</w:t>
      </w:r>
      <w:r w:rsidRPr="00BE5E0C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prowadzą do zmiany treści og</w:t>
      </w:r>
      <w:r w:rsidR="00FC6E3E">
        <w:rPr>
          <w:rFonts w:asciiTheme="minorHAnsi" w:eastAsia="Calibri" w:hAnsiTheme="minorHAnsi" w:cstheme="minorHAnsi"/>
          <w:color w:val="auto"/>
          <w:sz w:val="22"/>
          <w:lang w:eastAsia="en-US"/>
        </w:rPr>
        <w:t>łoszenia o zamówieniu.</w:t>
      </w:r>
      <w:r w:rsidRPr="009C60BB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</w:p>
    <w:p w:rsidR="00BE5E0C" w:rsidRPr="009C60BB" w:rsidRDefault="00BE5E0C" w:rsidP="009C60BB">
      <w:pPr>
        <w:spacing w:before="240" w:after="0" w:line="276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:rsidR="00BE5E0C" w:rsidRPr="00BE5E0C" w:rsidRDefault="00E6568D" w:rsidP="00BE5E0C">
      <w:pPr>
        <w:spacing w:before="240" w:after="0" w:line="360" w:lineRule="auto"/>
        <w:ind w:left="0" w:firstLine="0"/>
        <w:jc w:val="both"/>
        <w:rPr>
          <w:rFonts w:ascii="Calibri" w:eastAsia="Calibri" w:hAnsi="Calibri" w:cs="Calibri"/>
          <w:b/>
          <w:color w:val="auto"/>
          <w:sz w:val="22"/>
          <w:lang w:eastAsia="en-US"/>
        </w:rPr>
      </w:pPr>
      <w:r w:rsidRPr="00E6568D">
        <w:rPr>
          <w:rFonts w:ascii="Calibri" w:eastAsia="Calibri" w:hAnsi="Calibri" w:cs="Calibri"/>
          <w:b/>
          <w:color w:val="auto"/>
          <w:sz w:val="22"/>
          <w:lang w:eastAsia="en-US"/>
        </w:rPr>
        <w:t>W imieniu Zamawiającego</w:t>
      </w:r>
      <w:r w:rsidR="00BE5E0C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  <w:r w:rsidR="00BE5E0C" w:rsidRPr="00BE5E0C">
        <w:rPr>
          <w:rFonts w:ascii="Calibri" w:eastAsia="Calibri" w:hAnsi="Calibri"/>
          <w:b/>
          <w:sz w:val="22"/>
          <w:lang w:eastAsia="en-US"/>
        </w:rPr>
        <w:t>mgr Konrad Raczkowski – Kanclerz UMB</w:t>
      </w:r>
      <w:r w:rsidR="00221CCB">
        <w:rPr>
          <w:rFonts w:ascii="Calibri" w:eastAsia="Calibri" w:hAnsi="Calibri"/>
          <w:b/>
          <w:sz w:val="22"/>
          <w:lang w:eastAsia="en-US"/>
        </w:rPr>
        <w:t xml:space="preserve"> </w:t>
      </w:r>
      <w:r w:rsidR="00221CCB" w:rsidRPr="00221CCB">
        <w:rPr>
          <w:rFonts w:ascii="Calibri" w:eastAsia="Calibri" w:hAnsi="Calibri"/>
          <w:sz w:val="22"/>
          <w:lang w:eastAsia="en-US"/>
        </w:rPr>
        <w:t>/podpis na oryginale/</w:t>
      </w:r>
      <w:r w:rsidR="00221CCB">
        <w:rPr>
          <w:rFonts w:ascii="Calibri" w:eastAsia="Calibri" w:hAnsi="Calibri"/>
          <w:b/>
          <w:sz w:val="22"/>
          <w:lang w:eastAsia="en-US"/>
        </w:rPr>
        <w:t xml:space="preserve"> </w:t>
      </w:r>
      <w:r w:rsidR="00915692">
        <w:rPr>
          <w:rFonts w:ascii="Calibri" w:eastAsia="Calibri" w:hAnsi="Calibri"/>
          <w:b/>
          <w:sz w:val="22"/>
          <w:lang w:eastAsia="en-US"/>
        </w:rPr>
        <w:t xml:space="preserve"> </w:t>
      </w:r>
      <w:bookmarkStart w:id="0" w:name="_GoBack"/>
      <w:bookmarkEnd w:id="0"/>
    </w:p>
    <w:p w:rsidR="00E6568D" w:rsidRPr="00720485" w:rsidRDefault="00E6568D" w:rsidP="00720485">
      <w:pPr>
        <w:spacing w:after="240" w:line="360" w:lineRule="auto"/>
        <w:ind w:left="0" w:firstLine="0"/>
        <w:jc w:val="both"/>
        <w:rPr>
          <w:rFonts w:ascii="Calibri" w:eastAsia="Calibri" w:hAnsi="Calibri" w:cs="Calibri"/>
          <w:b/>
          <w:color w:val="auto"/>
          <w:sz w:val="22"/>
          <w:lang w:eastAsia="en-US"/>
        </w:rPr>
      </w:pPr>
    </w:p>
    <w:sectPr w:rsidR="00E6568D" w:rsidRPr="00720485" w:rsidSect="00E7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2" w:right="1796" w:bottom="1322" w:left="1802" w:header="64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89" w:rsidRDefault="00533189">
      <w:pPr>
        <w:spacing w:after="0" w:line="240" w:lineRule="auto"/>
      </w:pPr>
      <w:r>
        <w:separator/>
      </w:r>
    </w:p>
  </w:endnote>
  <w:endnote w:type="continuationSeparator" w:id="0">
    <w:p w:rsidR="00533189" w:rsidRDefault="0053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8D" w:rsidRPr="000246E5" w:rsidRDefault="00E6568D" w:rsidP="000246E5">
    <w:pPr>
      <w:spacing w:after="0" w:line="240" w:lineRule="auto"/>
      <w:ind w:left="0" w:firstLine="0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8D" w:rsidRPr="000246E5" w:rsidRDefault="00E6568D" w:rsidP="000246E5">
    <w:pPr>
      <w:spacing w:after="0" w:line="240" w:lineRule="auto"/>
      <w:ind w:left="0" w:firstLine="0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8D" w:rsidRPr="00A31852" w:rsidRDefault="00E6568D" w:rsidP="000246E5">
    <w:pPr>
      <w:spacing w:after="0" w:line="240" w:lineRule="auto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89" w:rsidRDefault="00533189">
      <w:pPr>
        <w:spacing w:after="0" w:line="240" w:lineRule="auto"/>
      </w:pPr>
      <w:r>
        <w:separator/>
      </w:r>
    </w:p>
  </w:footnote>
  <w:footnote w:type="continuationSeparator" w:id="0">
    <w:p w:rsidR="00533189" w:rsidRDefault="0053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F1" w:rsidRDefault="00DA386C" w:rsidP="00E6568D">
    <w:pPr>
      <w:spacing w:after="0" w:line="259" w:lineRule="auto"/>
      <w:ind w:left="0" w:right="420" w:hanging="1340"/>
    </w:pPr>
    <w:r>
      <w:rPr>
        <w:sz w:val="16"/>
      </w:rPr>
      <w:t xml:space="preserve">       </w:t>
    </w:r>
  </w:p>
  <w:p w:rsidR="003431F1" w:rsidRDefault="00343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F1" w:rsidRDefault="003431F1" w:rsidP="00E6568D">
    <w:pPr>
      <w:spacing w:after="0" w:line="259" w:lineRule="auto"/>
      <w:ind w:left="-426" w:right="98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52" w:rsidRDefault="00A31852" w:rsidP="008814FA">
    <w:pPr>
      <w:pStyle w:val="Nagwek"/>
      <w:ind w:right="704"/>
    </w:pPr>
  </w:p>
  <w:p w:rsidR="00E6568D" w:rsidRDefault="000246E5" w:rsidP="00E6568D">
    <w:pPr>
      <w:pStyle w:val="Nagwek"/>
      <w:ind w:left="-1418" w:right="704" w:firstLine="1440"/>
    </w:pPr>
    <w:r>
      <w:rPr>
        <w:noProof/>
      </w:rPr>
      <w:drawing>
        <wp:inline distT="0" distB="0" distL="0" distR="0" wp14:anchorId="7D724282" wp14:editId="236E6E3D">
          <wp:extent cx="1141095" cy="352425"/>
          <wp:effectExtent l="0" t="0" r="1905" b="9525"/>
          <wp:docPr id="4" name="Obraz 4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B15"/>
    <w:multiLevelType w:val="hybridMultilevel"/>
    <w:tmpl w:val="9B488E10"/>
    <w:lvl w:ilvl="0" w:tplc="7A186A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AD06">
      <w:start w:val="1"/>
      <w:numFmt w:val="bullet"/>
      <w:lvlText w:val="o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0E1D8">
      <w:start w:val="1"/>
      <w:numFmt w:val="bullet"/>
      <w:lvlRestart w:val="0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232">
      <w:start w:val="1"/>
      <w:numFmt w:val="bullet"/>
      <w:lvlText w:val="•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E56">
      <w:start w:val="1"/>
      <w:numFmt w:val="bullet"/>
      <w:lvlText w:val="o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DFEC">
      <w:start w:val="1"/>
      <w:numFmt w:val="bullet"/>
      <w:lvlText w:val="▪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AB0D8">
      <w:start w:val="1"/>
      <w:numFmt w:val="bullet"/>
      <w:lvlText w:val="•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2B30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CFE6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33B4D"/>
    <w:multiLevelType w:val="hybridMultilevel"/>
    <w:tmpl w:val="1444C4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50E4"/>
    <w:multiLevelType w:val="hybridMultilevel"/>
    <w:tmpl w:val="26C6D7F0"/>
    <w:lvl w:ilvl="0" w:tplc="CA26B7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48192">
      <w:start w:val="1"/>
      <w:numFmt w:val="bullet"/>
      <w:lvlText w:val="o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61D54">
      <w:start w:val="1"/>
      <w:numFmt w:val="bullet"/>
      <w:lvlRestart w:val="0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8D0B6">
      <w:start w:val="1"/>
      <w:numFmt w:val="bullet"/>
      <w:lvlText w:val="•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915A">
      <w:start w:val="1"/>
      <w:numFmt w:val="bullet"/>
      <w:lvlText w:val="o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0ECA">
      <w:start w:val="1"/>
      <w:numFmt w:val="bullet"/>
      <w:lvlText w:val="▪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76EE">
      <w:start w:val="1"/>
      <w:numFmt w:val="bullet"/>
      <w:lvlText w:val="•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5C50">
      <w:start w:val="1"/>
      <w:numFmt w:val="bullet"/>
      <w:lvlText w:val="o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95E2">
      <w:start w:val="1"/>
      <w:numFmt w:val="bullet"/>
      <w:lvlText w:val="▪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192535"/>
    <w:multiLevelType w:val="hybridMultilevel"/>
    <w:tmpl w:val="EFD20188"/>
    <w:lvl w:ilvl="0" w:tplc="F9C6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67C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C206">
      <w:start w:val="6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CEDEA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6ED4A">
      <w:start w:val="1"/>
      <w:numFmt w:val="lowerLetter"/>
      <w:lvlText w:val="%5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2D1E2">
      <w:start w:val="1"/>
      <w:numFmt w:val="lowerRoman"/>
      <w:lvlText w:val="%6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D70C">
      <w:start w:val="1"/>
      <w:numFmt w:val="decimal"/>
      <w:lvlText w:val="%7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E862">
      <w:start w:val="1"/>
      <w:numFmt w:val="lowerLetter"/>
      <w:lvlText w:val="%8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C022">
      <w:start w:val="1"/>
      <w:numFmt w:val="lowerRoman"/>
      <w:lvlText w:val="%9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D1F59"/>
    <w:multiLevelType w:val="hybridMultilevel"/>
    <w:tmpl w:val="6462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1DD2"/>
    <w:multiLevelType w:val="hybridMultilevel"/>
    <w:tmpl w:val="8A5672BE"/>
    <w:lvl w:ilvl="0" w:tplc="EFA2D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995"/>
    <w:multiLevelType w:val="hybridMultilevel"/>
    <w:tmpl w:val="E7683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667D9"/>
    <w:multiLevelType w:val="hybridMultilevel"/>
    <w:tmpl w:val="6F26A08C"/>
    <w:lvl w:ilvl="0" w:tplc="A40871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2CD5"/>
    <w:multiLevelType w:val="hybridMultilevel"/>
    <w:tmpl w:val="7FA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78C8"/>
    <w:multiLevelType w:val="hybridMultilevel"/>
    <w:tmpl w:val="50F2E24C"/>
    <w:lvl w:ilvl="0" w:tplc="048A95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6729"/>
    <w:multiLevelType w:val="hybridMultilevel"/>
    <w:tmpl w:val="71E0F974"/>
    <w:lvl w:ilvl="0" w:tplc="904AD4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08A6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8583A">
      <w:start w:val="1"/>
      <w:numFmt w:val="bullet"/>
      <w:lvlText w:val="▪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22CA">
      <w:start w:val="1"/>
      <w:numFmt w:val="bullet"/>
      <w:lvlText w:val="•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FD36">
      <w:start w:val="1"/>
      <w:numFmt w:val="bullet"/>
      <w:lvlText w:val="o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832">
      <w:start w:val="1"/>
      <w:numFmt w:val="bullet"/>
      <w:lvlText w:val="▪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FA6">
      <w:start w:val="1"/>
      <w:numFmt w:val="bullet"/>
      <w:lvlText w:val="•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86">
      <w:start w:val="1"/>
      <w:numFmt w:val="bullet"/>
      <w:lvlText w:val="o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0DC">
      <w:start w:val="1"/>
      <w:numFmt w:val="bullet"/>
      <w:lvlText w:val="▪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4D1F3D"/>
    <w:multiLevelType w:val="hybridMultilevel"/>
    <w:tmpl w:val="16C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1"/>
    <w:rsid w:val="00023C82"/>
    <w:rsid w:val="000246E5"/>
    <w:rsid w:val="00025F6C"/>
    <w:rsid w:val="00032A52"/>
    <w:rsid w:val="000E29CD"/>
    <w:rsid w:val="00140354"/>
    <w:rsid w:val="00173ED6"/>
    <w:rsid w:val="00221CCB"/>
    <w:rsid w:val="0023046C"/>
    <w:rsid w:val="002674A9"/>
    <w:rsid w:val="002E0149"/>
    <w:rsid w:val="00342A60"/>
    <w:rsid w:val="003431F1"/>
    <w:rsid w:val="00351CC8"/>
    <w:rsid w:val="00367898"/>
    <w:rsid w:val="003B7F17"/>
    <w:rsid w:val="00420287"/>
    <w:rsid w:val="0044173B"/>
    <w:rsid w:val="004524FE"/>
    <w:rsid w:val="00460B6E"/>
    <w:rsid w:val="00466F86"/>
    <w:rsid w:val="004D2CE4"/>
    <w:rsid w:val="004D43DD"/>
    <w:rsid w:val="004D5487"/>
    <w:rsid w:val="0051209D"/>
    <w:rsid w:val="00522111"/>
    <w:rsid w:val="0052396D"/>
    <w:rsid w:val="00533189"/>
    <w:rsid w:val="00576A9A"/>
    <w:rsid w:val="005907FF"/>
    <w:rsid w:val="00594B8E"/>
    <w:rsid w:val="005C27E7"/>
    <w:rsid w:val="005E7A5F"/>
    <w:rsid w:val="00606423"/>
    <w:rsid w:val="0062115F"/>
    <w:rsid w:val="00652CF9"/>
    <w:rsid w:val="00720485"/>
    <w:rsid w:val="007710DB"/>
    <w:rsid w:val="007D182E"/>
    <w:rsid w:val="007D64FD"/>
    <w:rsid w:val="007F54CE"/>
    <w:rsid w:val="00872FFA"/>
    <w:rsid w:val="008814FA"/>
    <w:rsid w:val="008C3311"/>
    <w:rsid w:val="008D72AE"/>
    <w:rsid w:val="00915692"/>
    <w:rsid w:val="009C60BB"/>
    <w:rsid w:val="00A009DF"/>
    <w:rsid w:val="00A049C2"/>
    <w:rsid w:val="00A279F2"/>
    <w:rsid w:val="00A31852"/>
    <w:rsid w:val="00A716A3"/>
    <w:rsid w:val="00AF40F2"/>
    <w:rsid w:val="00B054D3"/>
    <w:rsid w:val="00B41A41"/>
    <w:rsid w:val="00BC5520"/>
    <w:rsid w:val="00BE5E0C"/>
    <w:rsid w:val="00BF2494"/>
    <w:rsid w:val="00BF6278"/>
    <w:rsid w:val="00C1663D"/>
    <w:rsid w:val="00C95750"/>
    <w:rsid w:val="00CB3E69"/>
    <w:rsid w:val="00D20A6F"/>
    <w:rsid w:val="00D30BD6"/>
    <w:rsid w:val="00DA386C"/>
    <w:rsid w:val="00DF124E"/>
    <w:rsid w:val="00E24B0B"/>
    <w:rsid w:val="00E6568D"/>
    <w:rsid w:val="00E71DC6"/>
    <w:rsid w:val="00EA087D"/>
    <w:rsid w:val="00ED108C"/>
    <w:rsid w:val="00EF25D9"/>
    <w:rsid w:val="00F506A3"/>
    <w:rsid w:val="00F869F0"/>
    <w:rsid w:val="00FC6E3E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BCED"/>
  <w15:docId w15:val="{E384BA6D-80B2-49B4-9EE3-A9EDAFD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423"/>
    <w:pPr>
      <w:spacing w:after="3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AE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8D72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68D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506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246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43F5-06E5-465B-BABF-61251AE5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20</vt:lpstr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20</dc:title>
  <dc:creator>Iwona Adamkiewicz - CBI Pro-Akademia</dc:creator>
  <cp:lastModifiedBy>Agnieszka Malinowska</cp:lastModifiedBy>
  <cp:revision>5</cp:revision>
  <cp:lastPrinted>2025-05-23T10:38:00Z</cp:lastPrinted>
  <dcterms:created xsi:type="dcterms:W3CDTF">2025-05-23T07:59:00Z</dcterms:created>
  <dcterms:modified xsi:type="dcterms:W3CDTF">2025-05-23T10:40:00Z</dcterms:modified>
</cp:coreProperties>
</file>