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F4E3C5" w14:textId="50208A9F" w:rsidR="005636A6" w:rsidRDefault="005636A6">
      <w:pPr>
        <w:shd w:val="clear" w:color="auto" w:fill="FFFFFF"/>
        <w:jc w:val="right"/>
        <w:rPr>
          <w:rFonts w:ascii="Arial" w:eastAsia="Tahoma" w:hAnsi="Arial" w:cs="Arial"/>
          <w:sz w:val="20"/>
          <w:szCs w:val="20"/>
          <w:shd w:val="clear" w:color="auto" w:fill="FFFFFF"/>
        </w:rPr>
      </w:pPr>
    </w:p>
    <w:p w14:paraId="41C1CAC5" w14:textId="77777777" w:rsidR="00767791" w:rsidRDefault="00767791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A4E8715" w14:textId="00651ACD" w:rsidR="005636A6" w:rsidRDefault="0048097F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nr WTI……………………….</w:t>
      </w:r>
    </w:p>
    <w:p w14:paraId="31A11E40" w14:textId="77777777" w:rsidR="005636A6" w:rsidRDefault="005636A6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124D34" w14:textId="77777777" w:rsidR="005636A6" w:rsidRDefault="005636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28701A" w14:textId="77777777" w:rsidR="005636A6" w:rsidRDefault="0048097F">
      <w:pPr>
        <w:jc w:val="both"/>
      </w:pPr>
      <w:r>
        <w:rPr>
          <w:rFonts w:ascii="Arial" w:hAnsi="Arial" w:cs="Arial"/>
          <w:sz w:val="22"/>
          <w:szCs w:val="22"/>
        </w:rPr>
        <w:t xml:space="preserve">zawarta w dniu ….................2025 r. pomiędzy </w:t>
      </w:r>
      <w:r>
        <w:rPr>
          <w:rFonts w:ascii="Arial" w:hAnsi="Arial" w:cs="Arial"/>
          <w:b/>
          <w:sz w:val="22"/>
          <w:szCs w:val="22"/>
        </w:rPr>
        <w:t xml:space="preserve">Gminą Miejską Starogard Gdański  </w:t>
      </w:r>
      <w:r>
        <w:rPr>
          <w:rFonts w:ascii="Arial" w:hAnsi="Arial" w:cs="Arial"/>
          <w:sz w:val="22"/>
          <w:szCs w:val="22"/>
        </w:rPr>
        <w:t xml:space="preserve">ul. Gdańska  6, 83-200 Starogard Gdański,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NIP 592-20-45-396  zwaną dalej  „ Zamawiającym” reprezentowaną przez Janusza </w:t>
      </w:r>
      <w:proofErr w:type="spellStart"/>
      <w:r>
        <w:rPr>
          <w:rFonts w:ascii="Arial" w:hAnsi="Arial" w:cs="Arial"/>
          <w:sz w:val="22"/>
          <w:szCs w:val="22"/>
        </w:rPr>
        <w:t>Stankowiaka</w:t>
      </w:r>
      <w:proofErr w:type="spellEnd"/>
      <w:r>
        <w:rPr>
          <w:rFonts w:ascii="Arial" w:hAnsi="Arial" w:cs="Arial"/>
          <w:sz w:val="22"/>
          <w:szCs w:val="22"/>
        </w:rPr>
        <w:t xml:space="preserve"> - Prezydenta Miasta, a</w:t>
      </w:r>
    </w:p>
    <w:p w14:paraId="34614F5E" w14:textId="77777777" w:rsidR="005636A6" w:rsidRDefault="0048097F">
      <w:pPr>
        <w:spacing w:before="20"/>
        <w:jc w:val="both"/>
      </w:pPr>
      <w:r>
        <w:rPr>
          <w:rFonts w:ascii="Tahoma" w:hAnsi="Tahoma" w:cs="Tahoma"/>
          <w:b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 xml:space="preserve">, NIP </w:t>
      </w:r>
      <w:r>
        <w:rPr>
          <w:rFonts w:ascii="Tahoma" w:eastAsia="Arial" w:hAnsi="Tahoma" w:cs="Tahoma"/>
          <w:color w:val="000000"/>
          <w:sz w:val="22"/>
          <w:szCs w:val="22"/>
        </w:rPr>
        <w:t xml:space="preserve"> ……………………….., </w:t>
      </w:r>
      <w:r>
        <w:rPr>
          <w:rFonts w:ascii="Tahoma" w:hAnsi="Tahoma" w:cs="Tahoma"/>
          <w:sz w:val="22"/>
          <w:szCs w:val="22"/>
        </w:rPr>
        <w:t>zwanym dalej „Nadzorującym”</w:t>
      </w:r>
    </w:p>
    <w:p w14:paraId="142E8C4A" w14:textId="77777777" w:rsidR="005636A6" w:rsidRDefault="0048097F">
      <w:pPr>
        <w:spacing w:before="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reprezentowaną przez:</w:t>
      </w:r>
    </w:p>
    <w:p w14:paraId="58C89CC4" w14:textId="77777777" w:rsidR="005636A6" w:rsidRDefault="0048097F">
      <w:pPr>
        <w:tabs>
          <w:tab w:val="left" w:pos="0"/>
        </w:tabs>
        <w:spacing w:before="20"/>
        <w:jc w:val="both"/>
      </w:pPr>
      <w:r>
        <w:rPr>
          <w:rFonts w:ascii="Tahoma" w:eastAsia="Verdana-Bold" w:hAnsi="Tahoma" w:cs="Tahoma"/>
          <w:sz w:val="22"/>
          <w:szCs w:val="22"/>
          <w:shd w:val="clear" w:color="auto" w:fill="FFFFFF"/>
        </w:rPr>
        <w:t>………………………</w:t>
      </w:r>
      <w:r>
        <w:rPr>
          <w:rFonts w:ascii="Tahoma" w:eastAsia="Tahoma" w:hAnsi="Tahoma" w:cs="Tahoma"/>
          <w:sz w:val="22"/>
          <w:szCs w:val="22"/>
          <w:shd w:val="clear" w:color="auto" w:fill="FFFFFF"/>
        </w:rPr>
        <w:t xml:space="preserve"> </w:t>
      </w:r>
      <w:r>
        <w:rPr>
          <w:rFonts w:ascii="Tahoma" w:eastAsia="Verdana-Bold" w:hAnsi="Tahoma" w:cs="Tahoma"/>
          <w:sz w:val="22"/>
          <w:szCs w:val="22"/>
          <w:shd w:val="clear" w:color="auto" w:fill="FFFFFF"/>
        </w:rPr>
        <w:t>- właściciela</w:t>
      </w:r>
    </w:p>
    <w:p w14:paraId="2332F9A6" w14:textId="77777777" w:rsidR="005636A6" w:rsidRDefault="0048097F">
      <w:pPr>
        <w:spacing w:before="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została zawarta umowa następującej treści:</w:t>
      </w:r>
    </w:p>
    <w:p w14:paraId="75A0251A" w14:textId="77777777" w:rsidR="005636A6" w:rsidRDefault="005636A6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1BBC4172" w14:textId="77777777" w:rsidR="005636A6" w:rsidRDefault="004809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1</w:t>
      </w:r>
    </w:p>
    <w:p w14:paraId="20277494" w14:textId="77777777" w:rsidR="005636A6" w:rsidRDefault="0048097F">
      <w:pPr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Nadzorujący przyjmuje do wykonania usługę polegającą na pełnieniu </w:t>
      </w:r>
      <w:r>
        <w:rPr>
          <w:rFonts w:ascii="Arial" w:eastAsia="Tahoma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przy budowie sieci kanalizacji sanitarnej, grawitacyjnej i tłocznej z przepompowniami ścieków oraz infrastrukturą towarzyszącą  w rejonie ul.  </w:t>
      </w:r>
      <w:proofErr w:type="spellStart"/>
      <w:r>
        <w:rPr>
          <w:rFonts w:ascii="Arial" w:eastAsia="Tahoma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Kraziewicza</w:t>
      </w:r>
      <w:proofErr w:type="spellEnd"/>
      <w:r>
        <w:rPr>
          <w:rFonts w:ascii="Arial" w:eastAsia="Tahoma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, Milewskiego, Schulza, Falkowskiego, Rolnej, </w:t>
      </w:r>
      <w:proofErr w:type="spellStart"/>
      <w:r>
        <w:rPr>
          <w:rFonts w:ascii="Arial" w:eastAsia="Tahoma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Rebelki</w:t>
      </w:r>
      <w:proofErr w:type="spellEnd"/>
      <w:r>
        <w:rPr>
          <w:rFonts w:ascii="Arial" w:eastAsia="Tahoma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 w miejscowości Starogard Gdański w ramach zadania pn. </w:t>
      </w:r>
      <w:bookmarkStart w:id="0" w:name="_Hlk149646227_kopia_1_kopia_2_kopia_1_ko"/>
      <w:r>
        <w:rPr>
          <w:rFonts w:ascii="Arial" w:eastAsia="Calibri" w:hAnsi="Arial" w:cs="Open Sans Light"/>
          <w:b/>
          <w:iCs/>
          <w:color w:val="000000"/>
          <w:sz w:val="20"/>
          <w:szCs w:val="20"/>
          <w:lang w:eastAsia="en-US"/>
        </w:rPr>
        <w:t>Poprawa gospodarki wodno-ściekowej w aglomeracji Starogard Gdańsk</w:t>
      </w:r>
      <w:bookmarkEnd w:id="0"/>
      <w:r>
        <w:rPr>
          <w:rFonts w:ascii="Arial" w:eastAsia="Calibri" w:hAnsi="Arial" w:cs="Open Sans Light"/>
          <w:b/>
          <w:iCs/>
          <w:color w:val="000000"/>
          <w:sz w:val="20"/>
          <w:szCs w:val="20"/>
          <w:lang w:eastAsia="en-US"/>
        </w:rPr>
        <w:t>i</w:t>
      </w:r>
    </w:p>
    <w:p w14:paraId="24B01427" w14:textId="77777777" w:rsidR="005636A6" w:rsidRDefault="0048097F">
      <w:pPr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Zakres usługi obejmuje : </w:t>
      </w:r>
    </w:p>
    <w:p w14:paraId="1201F376" w14:textId="77777777" w:rsidR="005636A6" w:rsidRDefault="004809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pełnienie w pełnym zakresie nadzoru inwestorskiego nad robotami budowlanymi w  zakresie następujących branż:</w:t>
      </w:r>
      <w:r>
        <w:rPr>
          <w:rFonts w:ascii="Arial" w:hAnsi="Arial" w:cs="Arial"/>
          <w:sz w:val="22"/>
          <w:szCs w:val="22"/>
        </w:rPr>
        <w:tab/>
      </w:r>
    </w:p>
    <w:p w14:paraId="6FE5C0CB" w14:textId="77777777" w:rsidR="005636A6" w:rsidRDefault="005636A6">
      <w:pPr>
        <w:suppressAutoHyphens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5C221E29" w14:textId="77777777" w:rsidR="005636A6" w:rsidRDefault="0048097F">
      <w:pPr>
        <w:numPr>
          <w:ilvl w:val="0"/>
          <w:numId w:val="9"/>
        </w:numPr>
        <w:suppressAutoHyphens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sanitarnej, </w:t>
      </w:r>
    </w:p>
    <w:p w14:paraId="23EBF2D2" w14:textId="77777777" w:rsidR="005636A6" w:rsidRDefault="0048097F">
      <w:pPr>
        <w:numPr>
          <w:ilvl w:val="0"/>
          <w:numId w:val="9"/>
        </w:numPr>
        <w:suppressAutoHyphens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elektrycznej,</w:t>
      </w:r>
    </w:p>
    <w:p w14:paraId="2DCF39A8" w14:textId="77777777" w:rsidR="005636A6" w:rsidRDefault="0048097F">
      <w:pPr>
        <w:numPr>
          <w:ilvl w:val="0"/>
          <w:numId w:val="9"/>
        </w:numPr>
        <w:suppressAutoHyphens w:val="0"/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drogowej,</w:t>
      </w:r>
    </w:p>
    <w:p w14:paraId="01E3B3EF" w14:textId="77777777" w:rsidR="005636A6" w:rsidRDefault="005636A6">
      <w:pPr>
        <w:suppressAutoHyphens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177A7965" w14:textId="77777777" w:rsidR="005636A6" w:rsidRDefault="0048097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stały nadzór i kontrola robót budowlanych dla wszystkich elementów wymienionych w SWZ na roboty budowlane oraz specyfikacjach technicznych wykonania i odbioru robót budowlanych,</w:t>
      </w:r>
    </w:p>
    <w:p w14:paraId="508FD98E" w14:textId="77777777" w:rsidR="005636A6" w:rsidRDefault="0048097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kontrolę rozliczeń rzeczowo-finansowych nadzorowanych  robót.</w:t>
      </w:r>
    </w:p>
    <w:p w14:paraId="399A0077" w14:textId="77777777" w:rsidR="005636A6" w:rsidRDefault="005636A6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10B3F0" w14:textId="77777777" w:rsidR="005636A6" w:rsidRDefault="004809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position w:val="22"/>
          <w:sz w:val="22"/>
          <w:szCs w:val="22"/>
          <w:lang w:eastAsia="pl-PL"/>
        </w:rPr>
        <w:t>§ 2</w:t>
      </w:r>
    </w:p>
    <w:p w14:paraId="6FD3EECD" w14:textId="77777777" w:rsidR="005636A6" w:rsidRDefault="0048097F">
      <w:pPr>
        <w:numPr>
          <w:ilvl w:val="0"/>
          <w:numId w:val="10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postanawiają, że pełnienie objętego niniejszą umową nadzoru inwestorskiego nad  powierzonymi do nadzoru pracami, rozpocznie się od daty podpisania umowy z Wykonawcą robót i zakończy w dniu dokonania odbioru końcowego zadania przez Zamawiającego, co powinno nastąpić w terminie 16 miesięcy od podpisania umowy, plus 6 tygodni przewidziane na czynności rozliczeniowe zadania.</w:t>
      </w:r>
    </w:p>
    <w:p w14:paraId="307D2EE7" w14:textId="77777777" w:rsidR="005636A6" w:rsidRDefault="0048097F">
      <w:pPr>
        <w:numPr>
          <w:ilvl w:val="0"/>
          <w:numId w:val="10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W przypadku przedłużenia się robót budowlanych wykonawcy o ten okres ulega wydłużeniu nadzorów i nie wymaga on podpisania aneksu terminowego  na przedłużenie nadzoru. Wartość wynagrodzenia w tym przypadku pozostaje niezmienna. </w:t>
      </w:r>
    </w:p>
    <w:p w14:paraId="4D7D1448" w14:textId="77777777" w:rsidR="005636A6" w:rsidRDefault="0048097F">
      <w:pPr>
        <w:numPr>
          <w:ilvl w:val="0"/>
          <w:numId w:val="10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Nadzorujący zapewni udział inspektora nadzoru inwestorskiego w przeglądach technicznych  odebranych robót  w okresie  gwarancji i rękojmi  oraz zabezpieczy pełnienie nadzoru inwestorskiego  nad usuwaniem wad i usterek.</w:t>
      </w:r>
    </w:p>
    <w:p w14:paraId="527FE91E" w14:textId="77777777" w:rsidR="005636A6" w:rsidRDefault="005636A6">
      <w:pPr>
        <w:tabs>
          <w:tab w:val="left" w:pos="72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01F115F" w14:textId="77777777" w:rsidR="005636A6" w:rsidRDefault="0048097F">
      <w:pPr>
        <w:spacing w:line="276" w:lineRule="auto"/>
        <w:ind w:right="200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3</w:t>
      </w:r>
    </w:p>
    <w:p w14:paraId="12EA2B74" w14:textId="77777777" w:rsidR="005636A6" w:rsidRDefault="0048097F">
      <w:pPr>
        <w:numPr>
          <w:ilvl w:val="0"/>
          <w:numId w:val="2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Wynagrodzenie Nadzorującego za przedmiot umowy zostaje określone w wysokości brutto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</w:rPr>
        <w:t>zł (słownie: ……………. złotych) w tym 23% vat.</w:t>
      </w:r>
    </w:p>
    <w:p w14:paraId="3C91AE9F" w14:textId="77777777" w:rsidR="005636A6" w:rsidRDefault="0048097F">
      <w:pPr>
        <w:numPr>
          <w:ilvl w:val="0"/>
          <w:numId w:val="2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Regulowanie należności następować będzie etapami .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3BE4ED6B" w14:textId="77777777" w:rsidR="005636A6" w:rsidRDefault="0048097F">
      <w:pPr>
        <w:numPr>
          <w:ilvl w:val="0"/>
          <w:numId w:val="2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 zapłaty  będzie  faktura wystawiona przez Nadzorującego i zaakceptowana przez Zamawiającego.</w:t>
      </w:r>
    </w:p>
    <w:p w14:paraId="5874EBAD" w14:textId="77777777" w:rsidR="005636A6" w:rsidRDefault="0048097F">
      <w:pPr>
        <w:numPr>
          <w:ilvl w:val="0"/>
          <w:numId w:val="2"/>
        </w:numPr>
        <w:tabs>
          <w:tab w:val="left" w:pos="0"/>
          <w:tab w:val="left" w:pos="284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nastąpi na podstawie prawidłowo wystawionej faktury w terminie 30 dni od daty jej otrzymania przez Zamawiającego.</w:t>
      </w:r>
    </w:p>
    <w:p w14:paraId="18822278" w14:textId="77777777" w:rsidR="005636A6" w:rsidRDefault="0048097F">
      <w:pPr>
        <w:tabs>
          <w:tab w:val="left" w:pos="0"/>
          <w:tab w:val="left" w:pos="284"/>
        </w:tabs>
        <w:suppressAutoHyphens w:val="0"/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5. Faktura będzie płatna przelewem na rachunek Wykonawcy nr …………….. mechanizmem podzielonej płatności.</w:t>
      </w:r>
    </w:p>
    <w:p w14:paraId="5371082B" w14:textId="77777777" w:rsidR="005636A6" w:rsidRDefault="005636A6">
      <w:pPr>
        <w:tabs>
          <w:tab w:val="left" w:pos="0"/>
          <w:tab w:val="left" w:pos="284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534AC4" w14:textId="77777777" w:rsidR="005636A6" w:rsidRDefault="0048097F">
      <w:pPr>
        <w:spacing w:line="276" w:lineRule="auto"/>
        <w:ind w:right="200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4</w:t>
      </w:r>
    </w:p>
    <w:p w14:paraId="4067FF52" w14:textId="77777777" w:rsidR="005636A6" w:rsidRDefault="004809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podjęły następujące postanowienia szczegółowe:</w:t>
      </w:r>
    </w:p>
    <w:p w14:paraId="70BAB684" w14:textId="77777777" w:rsidR="005636A6" w:rsidRDefault="0048097F">
      <w:pPr>
        <w:spacing w:line="276" w:lineRule="auto"/>
        <w:ind w:left="227" w:hanging="227"/>
        <w:jc w:val="both"/>
      </w:pPr>
      <w:r>
        <w:rPr>
          <w:rFonts w:ascii="Arial" w:hAnsi="Arial" w:cs="Arial"/>
          <w:sz w:val="22"/>
          <w:szCs w:val="22"/>
        </w:rPr>
        <w:t xml:space="preserve">1. Obecność na budowie w sposób zapewniający nadzór nad inwestycją – przez co rozumie się obecność inspektora nadzoru w branży drogowej oraz pozostałych branżowych inspektorów na każdym etapie gwarantującego właściwą realizację inwestycji na placu budowy nie mniej niż; Inspektor nadzoru branży </w:t>
      </w:r>
      <w:proofErr w:type="spellStart"/>
      <w:r>
        <w:rPr>
          <w:rFonts w:ascii="Arial" w:hAnsi="Arial" w:cs="Arial"/>
          <w:sz w:val="22"/>
          <w:szCs w:val="22"/>
        </w:rPr>
        <w:t>drogwej</w:t>
      </w:r>
      <w:proofErr w:type="spellEnd"/>
      <w:r>
        <w:rPr>
          <w:rFonts w:ascii="Arial" w:hAnsi="Arial" w:cs="Arial"/>
          <w:sz w:val="22"/>
          <w:szCs w:val="22"/>
        </w:rPr>
        <w:t xml:space="preserve"> 5 razy w tygodniu do końca realizacji inwestycji, wizyty pozostałych inspektorów nadzoru (branżystów): wymagana jest obecność każdego z inspektorów w wymiarze nie krótszym niż trzy razy w tygodniu w trakcie realizacji robót branżowych. Wskazany wymiar czasowy należy traktować jako minimalny a to oznacza, że wszelkie czynności wymagające obecności inspektorów nadzoru poza wskazanym limitem nie zwalnia ich z obecności podczas tych czynności.</w:t>
      </w:r>
    </w:p>
    <w:p w14:paraId="45F8DBF7" w14:textId="77777777" w:rsidR="005636A6" w:rsidRDefault="0048097F">
      <w:pPr>
        <w:spacing w:line="276" w:lineRule="auto"/>
        <w:ind w:left="227" w:hanging="227"/>
        <w:jc w:val="both"/>
      </w:pPr>
      <w:r>
        <w:rPr>
          <w:rFonts w:ascii="Arial" w:hAnsi="Arial" w:cs="Arial"/>
          <w:sz w:val="22"/>
          <w:szCs w:val="22"/>
        </w:rPr>
        <w:t>2. Zamawiający wyznacza jako koordynatorów prac w zakresie realizacji obowiązków umownych – pracowników Wydziału Techniczno-Inwestycyjnego Urzędu Miasta.</w:t>
      </w:r>
    </w:p>
    <w:p w14:paraId="771B6FDD" w14:textId="77777777" w:rsidR="005636A6" w:rsidRDefault="0048097F">
      <w:pPr>
        <w:pStyle w:val="Tekstpodstawowywcity31"/>
        <w:spacing w:line="276" w:lineRule="auto"/>
        <w:ind w:left="0" w:firstLine="0"/>
      </w:pPr>
      <w:r>
        <w:rPr>
          <w:rFonts w:ascii="Arial" w:hAnsi="Arial" w:cs="Arial"/>
          <w:sz w:val="22"/>
          <w:szCs w:val="22"/>
        </w:rPr>
        <w:t>3.Koordynatorem poszczególnych branż ze strony Nadzorującego będzie: …………………….</w:t>
      </w:r>
    </w:p>
    <w:p w14:paraId="729F6905" w14:textId="77777777" w:rsidR="005636A6" w:rsidRDefault="004809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Inspektor  nadzoru będzie zobowiązany do:</w:t>
      </w:r>
    </w:p>
    <w:p w14:paraId="688CC8D8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wystawienia pisemnego oświadczenia o podjęciu się obowiązków inspektora nadzoru inwestorskiego w celu złożenia go przez Zamawiającego do właściwego organu przy zawiadomieniu o zamiarze rozpoczęcia robót, na co najmniej</w:t>
      </w:r>
      <w:r>
        <w:rPr>
          <w:rFonts w:ascii="Arial" w:hAnsi="Arial" w:cs="Arial"/>
          <w:sz w:val="22"/>
          <w:szCs w:val="22"/>
          <w:lang w:eastAsia="pl-PL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 dni przed planowanym ich rozpoczęciem,</w:t>
      </w:r>
    </w:p>
    <w:p w14:paraId="7C01F330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-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wpisu do Dziennika Budowy o podjęciu się obowiązków i dokonywania tamże systematycznych zapisów o wykonywanych w  trakcie realizacji  robót czynnościach  i zaistniałych istotnych zdarzeniach,</w:t>
      </w:r>
    </w:p>
    <w:p w14:paraId="71DB67C7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-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udziału w przekazywaniu  Wykonawcy placu  budowy  w dniu wyznaczonym,</w:t>
      </w:r>
    </w:p>
    <w:p w14:paraId="09293A80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sprawdzenia faktur, rozliczenia przez Wykonawcę budowy i jego zakresu w odniesieniu do zapisów  umowy w tej sprawie,</w:t>
      </w:r>
    </w:p>
    <w:p w14:paraId="0DB6080F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kontroli terminów realizacji robót w odniesieniu do Harmonogramu Finansowo-Rzeczowego,</w:t>
      </w:r>
    </w:p>
    <w:p w14:paraId="1B5FECD6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dokonywania odbiorów robót zanikających i ulegających zakryciu  poprzez odpowiedni zapis w Dzienniku Budowy w terminie</w:t>
      </w:r>
      <w:r>
        <w:rPr>
          <w:rFonts w:ascii="Arial" w:hAnsi="Arial" w:cs="Arial"/>
          <w:sz w:val="22"/>
          <w:szCs w:val="22"/>
          <w:lang w:eastAsia="pl-PL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dni od daty zawiadomienia przez Kierownika budowy o ich wykonaniu  i zgłoszeniu do  odbioru,</w:t>
      </w:r>
    </w:p>
    <w:p w14:paraId="4A0D88DC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dokonywania czynności kontrolnych zgodnie ze Specyfikacją Techniczną wykonania i odbioru robót  budowlanych,</w:t>
      </w:r>
    </w:p>
    <w:p w14:paraId="044845D4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1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dokonywania odbiorów częściowych, określonych w umowie przedmiotów odbioru w  terminie</w:t>
      </w:r>
      <w:r>
        <w:rPr>
          <w:rFonts w:ascii="Arial" w:hAnsi="Arial" w:cs="Arial"/>
          <w:sz w:val="22"/>
          <w:szCs w:val="22"/>
          <w:lang w:eastAsia="pl-PL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 dni od daty zgłoszenia przez zapis kwitujący w Dzienniku Budowy oraz spisanie protokołu odbioru</w:t>
      </w:r>
      <w:r>
        <w:rPr>
          <w:rFonts w:ascii="Arial" w:hAnsi="Arial" w:cs="Arial"/>
          <w:sz w:val="22"/>
          <w:szCs w:val="22"/>
          <w:lang w:eastAsia="pl-PL"/>
        </w:rPr>
        <w:t xml:space="preserve"> z </w:t>
      </w:r>
      <w:r>
        <w:rPr>
          <w:rFonts w:ascii="Arial" w:hAnsi="Arial" w:cs="Arial"/>
          <w:sz w:val="22"/>
          <w:szCs w:val="22"/>
        </w:rPr>
        <w:t>wykazem wykonanych rzeczowo i finansowo robót, jako podstawy do fakturowania.</w:t>
      </w:r>
    </w:p>
    <w:p w14:paraId="63AB8AB0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potwierdzenia  zgłoszenia bezusterkowego wykonania przedmiotu umowy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pl-PL"/>
        </w:rPr>
        <w:t xml:space="preserve">przez Kierownika budowy poprzez. zapis w Dzienniku Budowy, co stanowić będzie podstawę do wystawienia przez Wykonawcę pisemnego powiadomienia Zamawiającego o zakończeniu </w:t>
      </w:r>
      <w:r>
        <w:rPr>
          <w:rFonts w:ascii="Arial" w:hAnsi="Arial" w:cs="Arial"/>
          <w:sz w:val="22"/>
          <w:szCs w:val="22"/>
        </w:rPr>
        <w:t xml:space="preserve">umowy i zwołania </w:t>
      </w:r>
      <w:r>
        <w:rPr>
          <w:rFonts w:ascii="Arial" w:hAnsi="Arial" w:cs="Arial"/>
          <w:sz w:val="22"/>
          <w:szCs w:val="22"/>
        </w:rPr>
        <w:lastRenderedPageBreak/>
        <w:t>Komisyjnego odbioru zadania,</w:t>
      </w:r>
    </w:p>
    <w:p w14:paraId="46F47660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sprawdzenia prawidłowości rozliczenia końcowego odebranego przedmiotu umowy. jako podstawy do wystawienia przez Wykonawcę robót faktury końcowej,</w:t>
      </w:r>
    </w:p>
    <w:p w14:paraId="2B6E250E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uczestniczenia w odbiorze końcowym nadzorowanego zadania oraz w odbiorze ostatecznym po upływie okresu gwarancji (rękojmi za wady),</w:t>
      </w:r>
    </w:p>
    <w:p w14:paraId="3B905E4E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udziału w charakterze przedstawiciela Zamawiającego w przeprowadzaniu inwentaryzacji robót w toku,</w:t>
      </w:r>
    </w:p>
    <w:p w14:paraId="2C7EB678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-2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udziału w przeprowadzanych próbach i sprawdzeniach wymaganych projektem  technicznym i obowiązującymi przepisami dla nadzorowanego zadania, </w:t>
      </w:r>
    </w:p>
    <w:p w14:paraId="142AF529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-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nadzorowania i stwierdzenia poprawności sporządzenia przez Kierownika Budowy dokumentacji powykonawczej,</w:t>
      </w:r>
    </w:p>
    <w:p w14:paraId="4F0BD805" w14:textId="77777777" w:rsidR="005636A6" w:rsidRDefault="0048097F">
      <w:pPr>
        <w:numPr>
          <w:ilvl w:val="0"/>
          <w:numId w:val="11"/>
        </w:numPr>
        <w:tabs>
          <w:tab w:val="left" w:pos="0"/>
          <w:tab w:val="left" w:pos="283"/>
        </w:tabs>
        <w:spacing w:line="276" w:lineRule="auto"/>
        <w:ind w:left="-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przygotowania załączników do wniosku składanego przez Zamawiającego do właściwego organu o wydanie pozwolenia na użytkowanie obiektu.</w:t>
      </w:r>
    </w:p>
    <w:p w14:paraId="146B2584" w14:textId="77777777" w:rsidR="005636A6" w:rsidRDefault="005636A6">
      <w:pPr>
        <w:tabs>
          <w:tab w:val="left" w:pos="0"/>
          <w:tab w:val="left" w:pos="283"/>
        </w:tabs>
        <w:spacing w:line="276" w:lineRule="auto"/>
        <w:ind w:left="-27"/>
        <w:jc w:val="both"/>
        <w:rPr>
          <w:rFonts w:ascii="Arial" w:hAnsi="Arial" w:cs="Arial"/>
          <w:sz w:val="22"/>
          <w:szCs w:val="22"/>
        </w:rPr>
      </w:pPr>
    </w:p>
    <w:p w14:paraId="6D8AE96E" w14:textId="77777777" w:rsidR="005636A6" w:rsidRDefault="0048097F">
      <w:pPr>
        <w:spacing w:line="276" w:lineRule="auto"/>
        <w:ind w:left="80" w:firstLine="60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5</w:t>
      </w:r>
    </w:p>
    <w:p w14:paraId="052A0ECF" w14:textId="77777777" w:rsidR="005636A6" w:rsidRDefault="0048097F">
      <w:pPr>
        <w:pStyle w:val="Tekstpodstawowywcity21"/>
        <w:numPr>
          <w:ilvl w:val="0"/>
          <w:numId w:val="12"/>
        </w:numPr>
        <w:tabs>
          <w:tab w:val="left" w:pos="502"/>
        </w:tabs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“Nadzorujący” jest zobowiązany do informowania Zamawiającego o konieczności wykonywania robót dodatkowych nie uwzględnionych w umowie o roboty budowlane, zawartej pomiędzy Zamawiającym a Wykonawcą, o konieczności zwiększenia lub ograniczenia ilości robót lub zrezygnowania z określonych robót, jeżeli jest to niezbędne dla zgodnego z treścią Umowy i obowiązującymi przepisami wykonania Umowy.</w:t>
      </w:r>
    </w:p>
    <w:p w14:paraId="3986D9C4" w14:textId="77777777" w:rsidR="005636A6" w:rsidRDefault="0048097F">
      <w:pPr>
        <w:pStyle w:val="Tekstpodstawowywcity21"/>
        <w:numPr>
          <w:ilvl w:val="0"/>
          <w:numId w:val="12"/>
        </w:numPr>
        <w:tabs>
          <w:tab w:val="left" w:pos="142"/>
          <w:tab w:val="left" w:pos="502"/>
        </w:tabs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zlecenie przeprowadzenie robót o których mowa w ust. 1 Nadzorujący zobowiązany jest każdorazowo uzyskać pisemną zgodę Zamawiającego.</w:t>
      </w:r>
    </w:p>
    <w:p w14:paraId="055D0162" w14:textId="77777777" w:rsidR="005636A6" w:rsidRDefault="0048097F">
      <w:pPr>
        <w:pStyle w:val="Tekstpodstawowywcity21"/>
        <w:numPr>
          <w:ilvl w:val="0"/>
          <w:numId w:val="12"/>
        </w:numPr>
        <w:tabs>
          <w:tab w:val="left" w:pos="142"/>
          <w:tab w:val="left" w:pos="502"/>
        </w:tabs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Jeżeli w trakcie wykonywania robót budowlanych zajdzie konieczność przeprowadzenia robót niezbędnych ze względu na bezpieczeństwo albo zabezpieczenie przed awarią, Nadzorujący jest upoważniony do zlecenia Wykonawcy realizacji tych robót i dokonania stosownego wpisu do dziennika budowy.</w:t>
      </w:r>
    </w:p>
    <w:p w14:paraId="5C0AC386" w14:textId="77777777" w:rsidR="005636A6" w:rsidRDefault="0048097F">
      <w:pPr>
        <w:pStyle w:val="Tekstpodstawowywcity21"/>
        <w:numPr>
          <w:ilvl w:val="0"/>
          <w:numId w:val="12"/>
        </w:numPr>
        <w:tabs>
          <w:tab w:val="left" w:pos="223"/>
          <w:tab w:val="left" w:pos="502"/>
        </w:tabs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Obowiązkiem Nadzorującego jest niezwłoczne powiadomienie Zamawiającego o zaistnieniu okoliczności, o których mowa w ust.3.</w:t>
      </w:r>
    </w:p>
    <w:p w14:paraId="23FBCAFE" w14:textId="77777777" w:rsidR="005636A6" w:rsidRDefault="005636A6">
      <w:pPr>
        <w:pStyle w:val="Tekstpodstawowywcity21"/>
        <w:tabs>
          <w:tab w:val="left" w:pos="142"/>
          <w:tab w:val="left" w:pos="502"/>
        </w:tabs>
        <w:spacing w:line="276" w:lineRule="auto"/>
        <w:ind w:left="142"/>
        <w:rPr>
          <w:rFonts w:ascii="Arial" w:hAnsi="Arial" w:cs="Arial"/>
          <w:b w:val="0"/>
          <w:sz w:val="22"/>
          <w:szCs w:val="22"/>
        </w:rPr>
      </w:pPr>
    </w:p>
    <w:p w14:paraId="0DA7278D" w14:textId="77777777" w:rsidR="005636A6" w:rsidRDefault="004809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6</w:t>
      </w:r>
    </w:p>
    <w:p w14:paraId="60A50551" w14:textId="77777777" w:rsidR="005636A6" w:rsidRDefault="0048097F">
      <w:pPr>
        <w:spacing w:line="276" w:lineRule="auto"/>
        <w:ind w:left="40"/>
        <w:jc w:val="both"/>
      </w:pPr>
      <w:r>
        <w:rPr>
          <w:rFonts w:ascii="Arial" w:hAnsi="Arial" w:cs="Arial"/>
          <w:sz w:val="22"/>
          <w:szCs w:val="22"/>
        </w:rPr>
        <w:t>Zamawiający zobowiązuje się</w:t>
      </w:r>
      <w:r>
        <w:rPr>
          <w:rFonts w:ascii="Arial" w:hAnsi="Arial" w:cs="Arial"/>
          <w:sz w:val="22"/>
          <w:szCs w:val="22"/>
          <w:lang w:eastAsia="pl-PL"/>
        </w:rPr>
        <w:t>:</w:t>
      </w:r>
    </w:p>
    <w:p w14:paraId="35C9DE00" w14:textId="77777777" w:rsidR="005636A6" w:rsidRDefault="0048097F">
      <w:pPr>
        <w:numPr>
          <w:ilvl w:val="0"/>
          <w:numId w:val="13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Regulować w terminie należności </w:t>
      </w:r>
      <w:r>
        <w:rPr>
          <w:rFonts w:ascii="Arial" w:hAnsi="Arial" w:cs="Arial"/>
          <w:sz w:val="22"/>
          <w:szCs w:val="22"/>
          <w:lang w:eastAsia="pl-PL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pełnienie nadzoru.</w:t>
      </w:r>
    </w:p>
    <w:p w14:paraId="1C567D38" w14:textId="77777777" w:rsidR="005636A6" w:rsidRDefault="0048097F">
      <w:pPr>
        <w:numPr>
          <w:ilvl w:val="0"/>
          <w:numId w:val="13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Rozpatrywać w terminie możliwie szybkim wystąpienia i postulaty inspektorów nadzoru dotyczących projektu technicznego i spraw związanych z realizacją robot.</w:t>
      </w:r>
    </w:p>
    <w:p w14:paraId="3D0E914E" w14:textId="77777777" w:rsidR="005636A6" w:rsidRDefault="005636A6">
      <w:p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E92D82" w14:textId="77777777" w:rsidR="005636A6" w:rsidRDefault="004809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7</w:t>
      </w:r>
    </w:p>
    <w:p w14:paraId="7683BBB3" w14:textId="77777777" w:rsidR="005636A6" w:rsidRDefault="0048097F">
      <w:pPr>
        <w:numPr>
          <w:ilvl w:val="0"/>
          <w:numId w:val="14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Nadzorujący ponosi wobec Zamawiającego odpowiedzialność za poprawne i terminowe wykonywanie obowiązków przez wyznaczonych inspektorów nadzoru inwestorskiego.</w:t>
      </w:r>
    </w:p>
    <w:p w14:paraId="36C4BC63" w14:textId="77777777" w:rsidR="005636A6" w:rsidRDefault="0048097F">
      <w:pPr>
        <w:numPr>
          <w:ilvl w:val="0"/>
          <w:numId w:val="14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Stwierdzone i udokumentowane koszty mogące wyniknąć z niedopatrzenia lub zaniedbania w  wypełnieniu obowiązków przez inspektora nadzoru inwestorskiego ponosi Nadzorujący.</w:t>
      </w:r>
    </w:p>
    <w:p w14:paraId="347BED45" w14:textId="77777777" w:rsidR="005636A6" w:rsidRDefault="0048097F">
      <w:pPr>
        <w:numPr>
          <w:ilvl w:val="0"/>
          <w:numId w:val="14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Udostępnianie i korzystanie z dokumentacji projektowej nadzorowanych robót w obiekcie odbywać się będzie z zachowaniem obowiązujących przepisów. Szczególnej ochronie podlegają projekty oraz dokumenty dotyczące zabezpieczenia i ochrony mienia.</w:t>
      </w:r>
    </w:p>
    <w:p w14:paraId="114A389A" w14:textId="77777777" w:rsidR="005636A6" w:rsidRDefault="005636A6">
      <w:pPr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676A18D3" w14:textId="77777777" w:rsidR="005636A6" w:rsidRDefault="005636A6">
      <w:pPr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6C474F49" w14:textId="77777777" w:rsidR="005636A6" w:rsidRDefault="0048097F">
      <w:pPr>
        <w:spacing w:line="276" w:lineRule="auto"/>
        <w:ind w:left="4248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8</w:t>
      </w:r>
    </w:p>
    <w:p w14:paraId="06B98E4C" w14:textId="77777777" w:rsidR="005636A6" w:rsidRDefault="0048097F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nienależyte wykonanie obowiązków określonych niniejszą umową Nadzorujący zapłaci Zamawiającemu karę umowną w wysokości wynagrodzenia należnego za miesiąc,  w którym stwierdzono niewykonanie lub nienależyte wykonanie obowiązków.</w:t>
      </w:r>
    </w:p>
    <w:p w14:paraId="1794A6F2" w14:textId="77777777" w:rsidR="005636A6" w:rsidRDefault="0048097F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jednostronne odstąpienie od umowy strona winna odstąpienia zapłaci karę umowną w wysokości</w:t>
      </w:r>
      <w:r>
        <w:rPr>
          <w:rFonts w:ascii="Arial" w:hAnsi="Arial" w:cs="Arial"/>
          <w:sz w:val="22"/>
          <w:szCs w:val="22"/>
          <w:lang w:eastAsia="pl-PL"/>
        </w:rPr>
        <w:t xml:space="preserve"> 20% </w:t>
      </w:r>
      <w:r>
        <w:rPr>
          <w:rFonts w:ascii="Arial" w:hAnsi="Arial" w:cs="Arial"/>
          <w:sz w:val="22"/>
          <w:szCs w:val="22"/>
        </w:rPr>
        <w:t>wynagrodzenia Nadzorującego za cały przedmiot umowy.</w:t>
      </w:r>
    </w:p>
    <w:p w14:paraId="3CD54145" w14:textId="77777777" w:rsidR="005636A6" w:rsidRDefault="0048097F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 tytułu braku zapłaty lub nieterminowej zapłaty wynagrodzenia należnego podwykonawcom z tytułu zmiany wysokości wynagrodzenia, o której mowa w § 10 ust. 1 Umowy 100 zł, za każdy dzień brak realizacji tego obowiązku.</w:t>
      </w:r>
    </w:p>
    <w:p w14:paraId="5C35C61D" w14:textId="77777777" w:rsidR="005636A6" w:rsidRDefault="0048097F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Łączna maksymalna wysokość kar umownych wynosi 20% wynagrodzenia określonego w § 3 Umowy.</w:t>
      </w:r>
    </w:p>
    <w:p w14:paraId="15FE1C68" w14:textId="77777777" w:rsidR="005636A6" w:rsidRDefault="0048097F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ma prawo dochodzić odszkodowania uzupełniającego na zasadach ogólnych określonych w Kodeksie cywilnym, jeżeli szkoda przewyższy wysokość kar umownych.</w:t>
      </w:r>
    </w:p>
    <w:p w14:paraId="50947B67" w14:textId="77777777" w:rsidR="005636A6" w:rsidRDefault="005636A6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4EEC0B" w14:textId="77777777" w:rsidR="005636A6" w:rsidRDefault="004809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4DC242BA" w14:textId="77777777" w:rsidR="005636A6" w:rsidRDefault="0048097F">
      <w:pPr>
        <w:spacing w:line="276" w:lineRule="auto"/>
        <w:ind w:left="40"/>
        <w:jc w:val="both"/>
      </w:pPr>
      <w:r>
        <w:rPr>
          <w:rFonts w:ascii="Arial" w:hAnsi="Arial" w:cs="Arial"/>
          <w:sz w:val="22"/>
          <w:szCs w:val="22"/>
        </w:rPr>
        <w:t>Strony zastrzegają sobie prawo odstąpiona od umowy w przypadku gdy:</w:t>
      </w:r>
    </w:p>
    <w:p w14:paraId="3086C698" w14:textId="77777777" w:rsidR="005636A6" w:rsidRDefault="0048097F">
      <w:pPr>
        <w:numPr>
          <w:ilvl w:val="0"/>
          <w:numId w:val="1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Nadzorujący w sposób nienależyty realizuje swoje obowiązki umowne, co może narazić Zamawiającego na straty,</w:t>
      </w:r>
    </w:p>
    <w:p w14:paraId="3D7D73B6" w14:textId="77777777" w:rsidR="005636A6" w:rsidRDefault="0048097F">
      <w:pPr>
        <w:numPr>
          <w:ilvl w:val="0"/>
          <w:numId w:val="1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zostanie ogłoszona upadłość Nadzorującego lub Zamawiającego,</w:t>
      </w:r>
    </w:p>
    <w:p w14:paraId="10CCD354" w14:textId="77777777" w:rsidR="005636A6" w:rsidRDefault="0048097F">
      <w:pPr>
        <w:numPr>
          <w:ilvl w:val="0"/>
          <w:numId w:val="1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zostanie wszczęte postępowanie egzekucyjne przeciwko Nadzorującemu, </w:t>
      </w:r>
    </w:p>
    <w:p w14:paraId="1CD3F890" w14:textId="77777777" w:rsidR="005636A6" w:rsidRDefault="0048097F">
      <w:pPr>
        <w:numPr>
          <w:ilvl w:val="0"/>
          <w:numId w:val="15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przez okres przekraczający 1 miesiąc nie płaci wynagrodzenia Nadzorującemu lub w inny rażący sposób zaniedbuje swoje obowiązki, uniemożliwiając poprawne działanie inspektorów nadzoru.</w:t>
      </w:r>
    </w:p>
    <w:p w14:paraId="0AF364E3" w14:textId="77777777" w:rsidR="005636A6" w:rsidRDefault="005636A6">
      <w:p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721143" w14:textId="77777777" w:rsidR="005636A6" w:rsidRDefault="004809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510D050A" w14:textId="77777777" w:rsidR="005636A6" w:rsidRDefault="0048097F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397" w:hanging="3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dopuszcza zmianę wysokości wynagrodzenia określonego w § 3 ust. 1 pierwotnie zawartej umowy w związku ze zmianą cen materiałów lub kosztów związanych z realizacją przedmiotu umowy, na zasadach określonych poniżej (dalej: „waloryzacja”). </w:t>
      </w:r>
    </w:p>
    <w:p w14:paraId="7B873855" w14:textId="77777777" w:rsidR="005636A6" w:rsidRDefault="0048097F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397" w:hanging="3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jest uprawniony złożyć Zamawiającemu pisemne zawiadomienie o wystąpieniu okoliczności, o których mowa  w ust. 1 Zawiadomienie powinno zawierać dokładne wyliczenie zmiany wynagrodzenia Wykonawcy, wynikającego z waloryzacji przy zastosowaniu wskaźników, o których mowa w ust. 3 i 4 poniżej, z uwzględnieniem maksymalnych poziomów wzrostu wynagrodzenia określonych w ust. 5 poniżej. </w:t>
      </w:r>
    </w:p>
    <w:p w14:paraId="0D88FDB5" w14:textId="77777777" w:rsidR="005636A6" w:rsidRDefault="0048097F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397" w:hanging="3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określenia kwoty należnego Wykonawcy zwaloryzowanego wynagrodzenia, z zastrzeżeniem ust. 5 poniżej, będzie skumulowany miesiąc do miesiąca poprzedniego wskaźnik wzrostu (spadku) cen towarów i usług konsumpcyjnych publikowany co miesiąc przez Główny Urząd Statystyczny (dalej jako wskaźnik GUS) obliczany wg ust. 7 poniżej,  pomniejszony o  15. W przypadku gdyby wskaźniki przestały być dostępne, zastosowanie znajdą inne, najbardziej zbliżone, wskaźniki publikowane przez Prezesa GUS.</w:t>
      </w:r>
    </w:p>
    <w:p w14:paraId="5B79C0B9" w14:textId="77777777" w:rsidR="005636A6" w:rsidRDefault="0048097F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397" w:hanging="3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Kwota należnego Wykonawcy zwaloryzowanego  wynagrodzenia, z zastrzeżeniem ust. 3 i 4, będzie obliczana w ten sposób, że wartość wykonanej przez Wykonawcę usługi w każdym miesiącu realizacji umowy będzie waloryzowana o skumulowany wskaźnik GUS porównując dany miesiąc do miesiąca poprzedniego, licząc od miesiąca następnego po miesiącu, w którym zawarto umowę (tj. od ……………) do miesiąca, w którym umowa zostanie zakończona. </w:t>
      </w:r>
    </w:p>
    <w:p w14:paraId="68E36D58" w14:textId="77777777" w:rsidR="005636A6" w:rsidRDefault="0048097F">
      <w:pPr>
        <w:tabs>
          <w:tab w:val="left" w:pos="426"/>
        </w:tabs>
        <w:spacing w:line="276" w:lineRule="auto"/>
        <w:ind w:left="39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złoży zbiorczy wniosek po zakończeniu realizacji umowy w terminie 30 dni od dnia, w którym opublikowano ostatni wskaźnik GUS niezbędny do prawidłowego wyliczenia waloryzacji. W przypadku niezłożenia wniosku w wyznaczonym terminie roszczenia Wykonawcy wygasają.</w:t>
      </w:r>
    </w:p>
    <w:p w14:paraId="77E6B7A2" w14:textId="77777777" w:rsidR="005636A6" w:rsidRDefault="0048097F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397" w:hanging="3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Łączna maksymalna wartość wszystkich zmian wynagrodzenia, jaką dopuszcza Zamawiający w efekcie zastosowania postanowień o zasadach wprowadzania waloryzacji wysokości wynagrodzenia to 5% wynagrodzenia wynikającego ze zrealizowanej umowy bez uwzględnienia waloryzacji.</w:t>
      </w:r>
    </w:p>
    <w:p w14:paraId="691FCCEB" w14:textId="77777777" w:rsidR="005636A6" w:rsidRDefault="0048097F">
      <w:pPr>
        <w:numPr>
          <w:ilvl w:val="0"/>
          <w:numId w:val="16"/>
        </w:numPr>
        <w:spacing w:line="276" w:lineRule="auto"/>
        <w:ind w:left="397" w:hanging="3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Postanowień umownych w zakresie waloryzacji nie stosuje się od chwili osiągnięcia limitów, o którym mowa w ust.  5.</w:t>
      </w:r>
    </w:p>
    <w:p w14:paraId="04053202" w14:textId="77777777" w:rsidR="005636A6" w:rsidRDefault="0048097F">
      <w:pPr>
        <w:numPr>
          <w:ilvl w:val="0"/>
          <w:numId w:val="16"/>
        </w:numPr>
        <w:tabs>
          <w:tab w:val="clear" w:pos="720"/>
          <w:tab w:val="left" w:pos="426"/>
        </w:tabs>
        <w:spacing w:line="276" w:lineRule="auto"/>
        <w:ind w:left="397" w:hanging="34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zobowiązany jest do dokonania waloryzacji wynagrodzenia przysługującego podwykonawcy w terminie 14 dni licząc od dnia zawarcia aneksu, stosując odpowiednio postanowienia ust. 1-6 jeżeli:</w:t>
      </w:r>
    </w:p>
    <w:p w14:paraId="565C3A03" w14:textId="77777777" w:rsidR="005636A6" w:rsidRDefault="0048097F">
      <w:pPr>
        <w:tabs>
          <w:tab w:val="left" w:pos="568"/>
        </w:tabs>
        <w:spacing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przedmiotem umowy są roboty budowlane lub usługi,</w:t>
      </w:r>
    </w:p>
    <w:p w14:paraId="2B2A6347" w14:textId="77777777" w:rsidR="005636A6" w:rsidRDefault="0048097F">
      <w:pPr>
        <w:tabs>
          <w:tab w:val="left" w:pos="568"/>
        </w:tabs>
        <w:spacing w:line="276" w:lineRule="auto"/>
        <w:ind w:left="284"/>
        <w:jc w:val="both"/>
        <w:textAlignment w:val="baseline"/>
      </w:pPr>
      <w:r>
        <w:rPr>
          <w:rFonts w:ascii="Arial" w:hAnsi="Arial" w:cs="Arial"/>
          <w:sz w:val="22"/>
          <w:szCs w:val="22"/>
        </w:rPr>
        <w:tab/>
        <w:t>- okres od podpisania umowy z podwykonawcą  do umownego terminu zakończenia  robót objętych podwykonawstwem jest dłuższy niż 6 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42F5AA3" w14:textId="77777777" w:rsidR="005636A6" w:rsidRDefault="005636A6">
      <w:pPr>
        <w:spacing w:line="276" w:lineRule="auto"/>
        <w:jc w:val="center"/>
        <w:rPr>
          <w:rFonts w:ascii="Arial" w:eastAsia="SimSun;宋体" w:hAnsi="Arial" w:cs="Arial"/>
          <w:b/>
          <w:sz w:val="22"/>
          <w:szCs w:val="22"/>
          <w:lang w:eastAsia="pl-PL"/>
        </w:rPr>
      </w:pPr>
    </w:p>
    <w:p w14:paraId="77B4C965" w14:textId="77777777" w:rsidR="005636A6" w:rsidRDefault="004809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 11</w:t>
      </w:r>
    </w:p>
    <w:p w14:paraId="6D9F3202" w14:textId="77777777" w:rsidR="005636A6" w:rsidRDefault="0048097F">
      <w:pPr>
        <w:numPr>
          <w:ilvl w:val="0"/>
          <w:numId w:val="17"/>
        </w:numPr>
        <w:spacing w:line="276" w:lineRule="auto"/>
        <w:ind w:left="426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Wynagrodzenie Wykonawcy określone w </w:t>
      </w:r>
      <w:r>
        <w:rPr>
          <w:rFonts w:ascii="Arial" w:hAnsi="Arial" w:cs="Arial"/>
          <w:bCs/>
          <w:color w:val="00000A"/>
          <w:sz w:val="22"/>
          <w:szCs w:val="22"/>
        </w:rPr>
        <w:t xml:space="preserve">§ 3 ust. 1 Umowy </w:t>
      </w:r>
      <w:r>
        <w:rPr>
          <w:rFonts w:ascii="Arial" w:hAnsi="Arial" w:cs="Arial"/>
          <w:color w:val="00000A"/>
          <w:sz w:val="22"/>
          <w:szCs w:val="22"/>
        </w:rPr>
        <w:t>ulegnie zmianie o poniesione przez wykonawcę koszty:</w:t>
      </w:r>
    </w:p>
    <w:p w14:paraId="0F4E5C8F" w14:textId="77777777" w:rsidR="005636A6" w:rsidRDefault="0048097F">
      <w:pPr>
        <w:numPr>
          <w:ilvl w:val="1"/>
          <w:numId w:val="17"/>
        </w:numPr>
        <w:spacing w:line="276" w:lineRule="auto"/>
        <w:ind w:left="993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w przypadku zmiany stawki podatku od towarów i usług, wprowadzonej odpowiednim aktem prawnym – zmianie ulegnie wyłącznie kwota VAT w stopniu wynikającym z wprowadzonej zmiany, przy zachowaniu stałej ceny netto; </w:t>
      </w:r>
    </w:p>
    <w:p w14:paraId="4C4187BB" w14:textId="77777777" w:rsidR="005636A6" w:rsidRDefault="0048097F">
      <w:pPr>
        <w:numPr>
          <w:ilvl w:val="1"/>
          <w:numId w:val="17"/>
        </w:numPr>
        <w:spacing w:line="276" w:lineRule="auto"/>
        <w:ind w:left="993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 przypadku zmiany wysokości minimalnego wynagrodzenia za pracę ustalonego na podstawie art. 2 ust. 3-5 ustawy z dnia 10 października 2002 r. o minimalnym wynagrodzeniu za pracę,</w:t>
      </w:r>
    </w:p>
    <w:p w14:paraId="0900EA1A" w14:textId="77777777" w:rsidR="005636A6" w:rsidRDefault="0048097F">
      <w:pPr>
        <w:numPr>
          <w:ilvl w:val="1"/>
          <w:numId w:val="17"/>
        </w:numPr>
        <w:spacing w:line="276" w:lineRule="auto"/>
        <w:ind w:left="993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 przypadku zmiany zasad podlegania ubezpieczeniom społecznym lub ubezpieczeniu zdrowotnemu lub wysokości stawki składki na ubezpieczenia społeczne lub zdrowotne,</w:t>
      </w:r>
    </w:p>
    <w:p w14:paraId="0321A0C5" w14:textId="77777777" w:rsidR="005636A6" w:rsidRDefault="0048097F">
      <w:pPr>
        <w:numPr>
          <w:ilvl w:val="1"/>
          <w:numId w:val="17"/>
        </w:numPr>
        <w:spacing w:line="276" w:lineRule="auto"/>
        <w:ind w:left="993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 przypadku zmiany zasad gromadzenia i wysokości wpłat do pracowniczych planów kapitałowych, o których mowa w ustawie z dnia 4 października 2018 r. o pracowniczych planach kapitałowych.</w:t>
      </w:r>
    </w:p>
    <w:p w14:paraId="3C215752" w14:textId="77777777" w:rsidR="005636A6" w:rsidRDefault="0048097F">
      <w:pPr>
        <w:spacing w:line="276" w:lineRule="auto"/>
        <w:ind w:left="426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 xml:space="preserve">- jeżeli zmiany te będą miały wpływ na koszty wykonania zamówienia przez Wykonawcę. </w:t>
      </w:r>
    </w:p>
    <w:p w14:paraId="661FAFA5" w14:textId="77777777" w:rsidR="005636A6" w:rsidRDefault="0048097F">
      <w:pPr>
        <w:numPr>
          <w:ilvl w:val="0"/>
          <w:numId w:val="17"/>
        </w:numPr>
        <w:spacing w:line="276" w:lineRule="auto"/>
        <w:ind w:left="426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Zmiana wysokości wynagrodzenia obowiązywać będzie od dnia wejścia w życie zmian, o których mowa w ust. 1.</w:t>
      </w:r>
    </w:p>
    <w:p w14:paraId="68A22907" w14:textId="77777777" w:rsidR="005636A6" w:rsidRDefault="0048097F">
      <w:pPr>
        <w:numPr>
          <w:ilvl w:val="0"/>
          <w:numId w:val="17"/>
        </w:numPr>
        <w:spacing w:line="276" w:lineRule="auto"/>
        <w:ind w:left="426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 przypadku zmian określonych w ust. 1 pkt 2-4 Wykonawca może wystąpić do Zamawiającego z wnioskiem o zmianę wynagrodzenia, przedkładając odpowiednie dokumenty potwierdzające zasadność złożenia takiego wniosku. Wykonawca winien wykazać ponad wszelką wątpliwość, że zaistniała zmiana ma bezpośredni wpływ na koszty wykonania zamówienia oraz określić stopień, w jakim wpłynie ona na wysokość wynagrodzenia.</w:t>
      </w:r>
    </w:p>
    <w:p w14:paraId="300CD473" w14:textId="77777777" w:rsidR="005636A6" w:rsidRDefault="0048097F">
      <w:pPr>
        <w:numPr>
          <w:ilvl w:val="0"/>
          <w:numId w:val="17"/>
        </w:numPr>
        <w:spacing w:line="276" w:lineRule="auto"/>
        <w:ind w:left="426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 wypadku zmiany, o której mowa w ust. 1 pkt 1 wartość netto wynagrodzenia Wykonawcy nie zmieni się, a określona w aneksie wartość brutto wynagrodzenia zostanie wyliczona na podstawie nowych przepisów.</w:t>
      </w:r>
    </w:p>
    <w:p w14:paraId="773F109F" w14:textId="77777777" w:rsidR="005636A6" w:rsidRDefault="0048097F">
      <w:pPr>
        <w:numPr>
          <w:ilvl w:val="0"/>
          <w:numId w:val="17"/>
        </w:numPr>
        <w:spacing w:line="276" w:lineRule="auto"/>
        <w:ind w:left="426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 przypadku zmiany, o której mowa w ust. 1 pkt 2 wynagrodzenie Wykonawcy ulegnie zmianie o wartość wzrostu całkowitego kosztu Wykonawcy wynikającą ze zwiększenia wynagrodzeń osób bezpośrednio wykonujących zamówienie do wysokości aktualnie obowiązującego minimalnego wynagrodzenia, z uwzględnieniem wszystkich obciążeń publicznoprawnych od kwoty wzrostu minimalnego wynagrodzenia.</w:t>
      </w:r>
    </w:p>
    <w:p w14:paraId="496DA397" w14:textId="77777777" w:rsidR="005636A6" w:rsidRDefault="0048097F">
      <w:pPr>
        <w:numPr>
          <w:ilvl w:val="0"/>
          <w:numId w:val="17"/>
        </w:numPr>
        <w:spacing w:line="276" w:lineRule="auto"/>
        <w:ind w:left="426" w:right="-15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W przypadku zmiany, o której mowa w ust. 1 pkt 3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0E29AD34" w14:textId="77777777" w:rsidR="005636A6" w:rsidRDefault="0048097F">
      <w:pPr>
        <w:numPr>
          <w:ilvl w:val="0"/>
          <w:numId w:val="17"/>
        </w:numPr>
        <w:spacing w:line="276" w:lineRule="auto"/>
        <w:ind w:left="426" w:right="-15"/>
        <w:jc w:val="both"/>
        <w:rPr>
          <w:rFonts w:ascii="Arial" w:hAnsi="Arial" w:cs="Arial"/>
          <w:b/>
          <w:color w:val="00000A"/>
          <w:sz w:val="22"/>
          <w:szCs w:val="22"/>
          <w:lang w:eastAsia="pl-PL"/>
        </w:rPr>
      </w:pPr>
      <w:r>
        <w:rPr>
          <w:rFonts w:ascii="Arial" w:hAnsi="Arial" w:cs="Arial"/>
          <w:color w:val="00000A"/>
          <w:sz w:val="22"/>
          <w:szCs w:val="22"/>
        </w:rPr>
        <w:lastRenderedPageBreak/>
        <w:t>W przypadku zmiany, o której mowa ust. 1 pkt 4 wynagrodzenie Wykonawcy ulegnie zmianie o wartość wzrostu całkowitego kosztu Wykonawcy, jaką będzie on zobowiązany dodatkowo ponieść w celu uwzględnienia tej zmiany w odniesieniu do osób bezpośrednio wykonujących zamówienie na rzecz Zamawiającego.</w:t>
      </w:r>
    </w:p>
    <w:p w14:paraId="6FE65318" w14:textId="77777777" w:rsidR="005636A6" w:rsidRDefault="005636A6">
      <w:pPr>
        <w:spacing w:line="276" w:lineRule="auto"/>
        <w:jc w:val="center"/>
        <w:rPr>
          <w:rFonts w:ascii="Arial" w:hAnsi="Arial" w:cs="Arial"/>
          <w:b/>
          <w:color w:val="00000A"/>
          <w:sz w:val="22"/>
          <w:szCs w:val="22"/>
          <w:lang w:eastAsia="pl-PL"/>
        </w:rPr>
      </w:pPr>
    </w:p>
    <w:p w14:paraId="720EAA30" w14:textId="77777777" w:rsidR="005636A6" w:rsidRDefault="0048097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§12</w:t>
      </w:r>
    </w:p>
    <w:p w14:paraId="37A3F7FD" w14:textId="77777777" w:rsidR="005636A6" w:rsidRDefault="0048097F">
      <w:pPr>
        <w:numPr>
          <w:ilvl w:val="0"/>
          <w:numId w:val="1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 niniejszej umowy wymagają dla swej ważności pisemnej zgody obu stron.</w:t>
      </w:r>
    </w:p>
    <w:p w14:paraId="286D64D3" w14:textId="77777777" w:rsidR="005636A6" w:rsidRDefault="0048097F">
      <w:pPr>
        <w:numPr>
          <w:ilvl w:val="0"/>
          <w:numId w:val="1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Projekt aneksu do umowy</w:t>
      </w:r>
      <w:r>
        <w:rPr>
          <w:rFonts w:ascii="Arial" w:hAnsi="Arial" w:cs="Arial"/>
          <w:sz w:val="22"/>
          <w:szCs w:val="22"/>
          <w:lang w:eastAsia="pl-PL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propozycją zmiany, przygotowuje strona ubiegająca się o jej wprowadzenie.</w:t>
      </w:r>
    </w:p>
    <w:p w14:paraId="07C1CA2C" w14:textId="77777777" w:rsidR="005636A6" w:rsidRDefault="0048097F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  <w:lang w:eastAsia="pl-PL"/>
        </w:rPr>
        <w:t>§1</w:t>
      </w:r>
      <w:r>
        <w:rPr>
          <w:rFonts w:ascii="Arial" w:hAnsi="Arial" w:cs="Arial"/>
          <w:b/>
          <w:sz w:val="22"/>
          <w:szCs w:val="22"/>
        </w:rPr>
        <w:t>3</w:t>
      </w:r>
    </w:p>
    <w:p w14:paraId="3075B375" w14:textId="77777777" w:rsidR="005636A6" w:rsidRDefault="0048097F">
      <w:pPr>
        <w:numPr>
          <w:ilvl w:val="0"/>
          <w:numId w:val="18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mają zastosowanie przepisy Kodeksu Cywilnego, ustawy Prawo Budowlane, ustawy Prawo Zamówień Publicznych wraz z aktami wykonawczymi.</w:t>
      </w:r>
    </w:p>
    <w:p w14:paraId="2E724F32" w14:textId="77777777" w:rsidR="005636A6" w:rsidRDefault="0048097F">
      <w:pPr>
        <w:numPr>
          <w:ilvl w:val="0"/>
          <w:numId w:val="18"/>
        </w:numPr>
        <w:tabs>
          <w:tab w:val="left" w:pos="0"/>
          <w:tab w:val="left" w:pos="360"/>
        </w:tabs>
        <w:spacing w:line="276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Ewentualne spory mogące wyniknąć na tle realizacji postanowień niniejszej umowy, rozstrzygane będą przez Sąd Powszechny, właściwy dla siedziby zamawiającego. </w:t>
      </w:r>
    </w:p>
    <w:p w14:paraId="7254F3C6" w14:textId="77777777" w:rsidR="005636A6" w:rsidRPr="00D33B7F" w:rsidRDefault="0048097F">
      <w:pPr>
        <w:pStyle w:val="Standard1"/>
        <w:widowControl w:val="0"/>
        <w:numPr>
          <w:ilvl w:val="0"/>
          <w:numId w:val="18"/>
        </w:numPr>
        <w:tabs>
          <w:tab w:val="left" w:pos="780"/>
          <w:tab w:val="left" w:pos="921"/>
        </w:tabs>
        <w:overflowPunct w:val="0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D33B7F">
        <w:rPr>
          <w:rFonts w:asciiTheme="majorHAnsi" w:hAnsiTheme="majorHAnsi" w:cstheme="majorHAnsi"/>
          <w:sz w:val="22"/>
          <w:szCs w:val="22"/>
        </w:rPr>
        <w:t>Wykonawca oświadcza, że nie podlega wykluczeniu z postępowania na podstawie art. 7 ust. 1 ustawy o szczególnych rozwiązaniach w zakresie przeciwdziałania wspieraniu agresji na Ukrainę oraz służących ochronie bezpieczeństwa narodowego. (Dz.U. z 2022r., poz. 1292 ze zm.)</w:t>
      </w:r>
    </w:p>
    <w:p w14:paraId="0C73B7F3" w14:textId="77777777" w:rsidR="00D33B7F" w:rsidRPr="00D33B7F" w:rsidRDefault="00D33B7F" w:rsidP="00D33B7F">
      <w:pPr>
        <w:pStyle w:val="Tekstpodstawowy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33B7F">
        <w:rPr>
          <w:rFonts w:asciiTheme="majorHAnsi" w:hAnsiTheme="majorHAnsi" w:cstheme="majorHAnsi"/>
          <w:sz w:val="22"/>
          <w:szCs w:val="22"/>
        </w:rPr>
        <w:t xml:space="preserve">Wykonawca zobowiązany jest do realizacji przedmiotu zamówienia zgodnie z zasadami polityki Unii Europejskiej, w tym z poszanowaniem praw podstawowych, przy przestrzeganiu Karty praw podstawowych Unii Europejskiej, a także zasadami udzielania zamówień, ochrony środowiska, politykami zrównoważonego rozwoju określonymi w art. 11 Traktatu o funkcjonowaniu Unii Europejskiej oraz celami ONZ dotyczącymi zrównoważonego rozwoju, a także porozumieniem paryskim i zasadą „nie czyń poważnych szkód środowisku” – DNSH („do no </w:t>
      </w:r>
      <w:proofErr w:type="spellStart"/>
      <w:r w:rsidRPr="00D33B7F">
        <w:rPr>
          <w:rFonts w:asciiTheme="majorHAnsi" w:hAnsiTheme="majorHAnsi" w:cstheme="majorHAnsi"/>
          <w:sz w:val="22"/>
          <w:szCs w:val="22"/>
        </w:rPr>
        <w:t>significant</w:t>
      </w:r>
      <w:proofErr w:type="spellEnd"/>
      <w:r w:rsidRPr="00D33B7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33B7F">
        <w:rPr>
          <w:rFonts w:asciiTheme="majorHAnsi" w:hAnsiTheme="majorHAnsi" w:cstheme="majorHAnsi"/>
          <w:sz w:val="22"/>
          <w:szCs w:val="22"/>
        </w:rPr>
        <w:t>harm</w:t>
      </w:r>
      <w:proofErr w:type="spellEnd"/>
      <w:r w:rsidRPr="00D33B7F">
        <w:rPr>
          <w:rFonts w:asciiTheme="majorHAnsi" w:hAnsiTheme="majorHAnsi" w:cstheme="majorHAnsi"/>
          <w:sz w:val="22"/>
          <w:szCs w:val="22"/>
        </w:rPr>
        <w:t>”), Zasadą równości szans i niedyskryminacji, w tym ze względu na płeć, rasę lub pochodzenie etniczne, religię lub światopogląd, wiek lub orientację seksualną oraz niepełnosprawność, a także z zapewnieniem dostępności dla osób z niepełnosprawnościami, z poszanowaniem Konwencji o prawach osób niepełnosprawnych sporządzonej w Nowym Jorku dnia 13 grudnia 2006 r. oraz Zasady równości kobiet i mężczyzn i z uwzględnieniem aspektu i perspektywy płci.</w:t>
      </w:r>
    </w:p>
    <w:p w14:paraId="49CFA27A" w14:textId="77777777" w:rsidR="00D33B7F" w:rsidRDefault="00D33B7F" w:rsidP="00D33B7F">
      <w:pPr>
        <w:pStyle w:val="Standard1"/>
        <w:widowControl w:val="0"/>
        <w:tabs>
          <w:tab w:val="left" w:pos="780"/>
          <w:tab w:val="left" w:pos="921"/>
        </w:tabs>
        <w:overflowPunct w:val="0"/>
        <w:spacing w:line="276" w:lineRule="auto"/>
        <w:jc w:val="both"/>
        <w:rPr>
          <w:b/>
          <w:sz w:val="22"/>
          <w:szCs w:val="22"/>
          <w:lang w:eastAsia="pl-PL"/>
        </w:rPr>
      </w:pPr>
    </w:p>
    <w:p w14:paraId="4018DF20" w14:textId="77777777" w:rsidR="005636A6" w:rsidRDefault="0048097F">
      <w:pPr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  <w:lang w:eastAsia="pl-PL"/>
        </w:rPr>
        <w:t>§ 1</w:t>
      </w:r>
      <w:r>
        <w:rPr>
          <w:rFonts w:ascii="Arial" w:hAnsi="Arial" w:cs="Arial"/>
          <w:b/>
          <w:sz w:val="22"/>
          <w:szCs w:val="22"/>
        </w:rPr>
        <w:t>4</w:t>
      </w:r>
    </w:p>
    <w:p w14:paraId="1534B38E" w14:textId="77777777" w:rsidR="005636A6" w:rsidRDefault="0048097F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>Umowę niniejszą sporządzono w trzech jednobrzmiących egzemplarzach, dwa dla Zamawiającego i jeden dla Nadzorującego.</w:t>
      </w:r>
    </w:p>
    <w:p w14:paraId="21D91BC4" w14:textId="77777777" w:rsidR="005636A6" w:rsidRDefault="005636A6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210AE521" w14:textId="77777777" w:rsidR="005636A6" w:rsidRDefault="0048097F">
      <w:pPr>
        <w:pStyle w:val="Tekstpodstawowy"/>
        <w:spacing w:line="276" w:lineRule="auto"/>
        <w:ind w:firstLine="708"/>
      </w:pPr>
      <w:r>
        <w:rPr>
          <w:rFonts w:ascii="Arial" w:hAnsi="Arial" w:cs="Arial"/>
          <w:sz w:val="22"/>
          <w:szCs w:val="22"/>
        </w:rPr>
        <w:t>Nadzorujący:</w:t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</w:r>
      <w:r>
        <w:rPr>
          <w:rFonts w:ascii="Arial" w:hAnsi="Arial" w:cs="Arial"/>
          <w:sz w:val="22"/>
          <w:szCs w:val="22"/>
          <w:lang w:eastAsia="pl-PL"/>
        </w:rPr>
        <w:tab/>
        <w:t xml:space="preserve">   </w:t>
      </w:r>
      <w:r>
        <w:rPr>
          <w:rFonts w:ascii="Arial" w:hAnsi="Arial" w:cs="Arial"/>
          <w:sz w:val="22"/>
          <w:szCs w:val="22"/>
          <w:lang w:eastAsia="pl-PL"/>
        </w:rPr>
        <w:tab/>
        <w:t xml:space="preserve">      Zamawiający:</w:t>
      </w:r>
    </w:p>
    <w:p w14:paraId="3A04DBEF" w14:textId="77777777" w:rsidR="005636A6" w:rsidRDefault="005636A6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  <w:lang w:eastAsia="pl-PL"/>
        </w:rPr>
      </w:pPr>
    </w:p>
    <w:p w14:paraId="67763B76" w14:textId="77777777" w:rsidR="005636A6" w:rsidRDefault="005636A6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  <w:lang w:eastAsia="pl-PL"/>
        </w:rPr>
      </w:pPr>
    </w:p>
    <w:p w14:paraId="3DD3FD54" w14:textId="77777777" w:rsidR="005636A6" w:rsidRDefault="005636A6">
      <w:pPr>
        <w:pStyle w:val="Tekstpodstawowy"/>
        <w:spacing w:line="276" w:lineRule="auto"/>
        <w:ind w:firstLine="708"/>
        <w:rPr>
          <w:rFonts w:ascii="Arial" w:hAnsi="Arial" w:cs="Arial"/>
          <w:sz w:val="22"/>
          <w:szCs w:val="22"/>
          <w:lang w:eastAsia="pl-PL"/>
        </w:rPr>
      </w:pPr>
    </w:p>
    <w:p w14:paraId="08AA42BB" w14:textId="77777777" w:rsidR="005636A6" w:rsidRDefault="0048097F">
      <w:pPr>
        <w:pStyle w:val="Tekstpodstawowy"/>
        <w:spacing w:line="276" w:lineRule="auto"/>
      </w:pPr>
      <w:r>
        <w:rPr>
          <w:rFonts w:ascii="Arial" w:eastAsia="Arial" w:hAnsi="Arial" w:cs="Arial"/>
          <w:sz w:val="22"/>
          <w:szCs w:val="22"/>
          <w:shd w:val="clear" w:color="auto" w:fill="FFFFFF"/>
          <w:lang w:eastAsia="pl-PL"/>
        </w:rPr>
        <w:t xml:space="preserve">  </w:t>
      </w:r>
      <w:r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  <w:t>…..................................</w:t>
      </w:r>
      <w:r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  <w:tab/>
      </w:r>
      <w:r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  <w:tab/>
      </w:r>
      <w:r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  <w:tab/>
      </w:r>
      <w:r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  <w:tab/>
      </w:r>
      <w:r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  <w:tab/>
        <w:t xml:space="preserve">          …...............................…</w:t>
      </w:r>
    </w:p>
    <w:p w14:paraId="06CEB0CA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4260F958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1D4A7525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4C7CCD8E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6AE69481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2ADC037D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557E982B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74A08794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4D7E306D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7D14A295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1BAE17EE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00D8CB39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17F9014E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46B3DEA2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7D70D543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6CB25CC7" w14:textId="77777777" w:rsidR="005636A6" w:rsidRDefault="005636A6">
      <w:pPr>
        <w:pStyle w:val="Tekstpodstawowy"/>
        <w:spacing w:line="276" w:lineRule="auto"/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</w:pPr>
    </w:p>
    <w:p w14:paraId="119E3ECC" w14:textId="77777777" w:rsidR="005636A6" w:rsidRDefault="0048097F">
      <w:pPr>
        <w:shd w:val="clear" w:color="auto" w:fill="FFFFFF"/>
        <w:spacing w:line="3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RODO</w:t>
      </w:r>
    </w:p>
    <w:p w14:paraId="7EDBDF5D" w14:textId="77777777" w:rsidR="005636A6" w:rsidRDefault="005636A6">
      <w:pPr>
        <w:shd w:val="clear" w:color="auto" w:fill="FFFFFF"/>
        <w:spacing w:line="340" w:lineRule="exact"/>
        <w:rPr>
          <w:rFonts w:ascii="Arial" w:hAnsi="Arial" w:cs="Arial"/>
        </w:rPr>
      </w:pPr>
    </w:p>
    <w:p w14:paraId="5414E905" w14:textId="77777777" w:rsidR="005636A6" w:rsidRDefault="0048097F">
      <w:pPr>
        <w:jc w:val="both"/>
        <w:rPr>
          <w:sz w:val="26"/>
          <w:szCs w:val="26"/>
        </w:rPr>
      </w:pPr>
      <w:r>
        <w:rPr>
          <w:rFonts w:ascii="Arial" w:hAnsi="Arial"/>
          <w:b/>
          <w:bCs/>
        </w:rPr>
        <w:t xml:space="preserve">Klauzula informacyjna </w:t>
      </w:r>
    </w:p>
    <w:p w14:paraId="413C56EF" w14:textId="77777777" w:rsidR="005636A6" w:rsidRDefault="0048097F">
      <w:pPr>
        <w:jc w:val="both"/>
      </w:pPr>
      <w:r>
        <w:rPr>
          <w:rFonts w:ascii="Arial" w:hAnsi="Arial"/>
        </w:rPr>
        <w:t xml:space="preserve">W celu wykonania obowiązku nałożonego art. 13 i 14 RODO [1], w związku z art. 88 ustawy wdrożeniowej [2], informujemy o zasadach przetwarzania Państwa danych osobowych : </w:t>
      </w:r>
    </w:p>
    <w:p w14:paraId="42DFDACD" w14:textId="77777777" w:rsidR="005636A6" w:rsidRDefault="0048097F">
      <w:pPr>
        <w:jc w:val="both"/>
      </w:pPr>
      <w:r>
        <w:rPr>
          <w:rFonts w:ascii="Arial" w:hAnsi="Arial"/>
          <w:b/>
          <w:bCs/>
        </w:rPr>
        <w:t xml:space="preserve">I. Administrator danych </w:t>
      </w:r>
    </w:p>
    <w:p w14:paraId="20D9CB5B" w14:textId="77777777" w:rsidR="005636A6" w:rsidRDefault="0048097F">
      <w:pPr>
        <w:jc w:val="both"/>
      </w:pPr>
      <w:r>
        <w:rPr>
          <w:rFonts w:ascii="Arial" w:hAnsi="Arial"/>
        </w:rPr>
        <w:t xml:space="preserve">Odrębnymi administratorami danych osobowych są: </w:t>
      </w:r>
    </w:p>
    <w:p w14:paraId="5E5B3694" w14:textId="77777777" w:rsidR="005636A6" w:rsidRDefault="0048097F">
      <w:pPr>
        <w:jc w:val="both"/>
      </w:pPr>
      <w:r>
        <w:rPr>
          <w:rFonts w:ascii="Arial" w:hAnsi="Arial"/>
        </w:rPr>
        <w:t>1. Minister Funduszy i Polityki Regionalnej, w zakresie, w jakim pełni funkcję Instytucji Zarządzającej (IZ) programem Fundusze Europejskie na Infrastrukturę, Klimat, Środowisko 2021-2027 (</w:t>
      </w:r>
      <w:proofErr w:type="spellStart"/>
      <w:r>
        <w:rPr>
          <w:rFonts w:ascii="Arial" w:hAnsi="Arial"/>
        </w:rPr>
        <w:t>FEnIKS</w:t>
      </w:r>
      <w:proofErr w:type="spellEnd"/>
      <w:r>
        <w:rPr>
          <w:rFonts w:ascii="Arial" w:hAnsi="Arial"/>
        </w:rPr>
        <w:t xml:space="preserve"> 2021-2027) [3], z siedzibą w Warszawie przy ul. Wspólnej 2/4; </w:t>
      </w:r>
    </w:p>
    <w:p w14:paraId="6C49A168" w14:textId="77777777" w:rsidR="005636A6" w:rsidRDefault="0048097F">
      <w:pPr>
        <w:jc w:val="both"/>
      </w:pPr>
      <w:r>
        <w:rPr>
          <w:rFonts w:ascii="Arial" w:hAnsi="Arial"/>
        </w:rPr>
        <w:t xml:space="preserve">2. Minister Klimatu i Środowiska z siedzibą w Warszawie ul. Wawelska 52/54 oraz Narodowy Fundusz Ochrony Środowiska z siedzibą w Warszawie ul. Konstruktorska 3a, w zakresie w jakim pełnią funkcję Instytucji Pośredniczącej (IP) / Instytucji wdrażającej (IW) </w:t>
      </w:r>
      <w:proofErr w:type="spellStart"/>
      <w:r>
        <w:rPr>
          <w:rFonts w:ascii="Arial" w:hAnsi="Arial"/>
        </w:rPr>
        <w:t>FEnIKS</w:t>
      </w:r>
      <w:proofErr w:type="spellEnd"/>
      <w:r>
        <w:rPr>
          <w:rFonts w:ascii="Arial" w:hAnsi="Arial"/>
        </w:rPr>
        <w:t xml:space="preserve"> 2021-2027 w ramach działania FENX.01.03 Gospodarka wodno-ściekowa, priorytetu FENX.01 Wsparcie sektorów energetyka i środowisko z Funduszu Spójności;</w:t>
      </w:r>
    </w:p>
    <w:p w14:paraId="5FC20439" w14:textId="77777777" w:rsidR="005636A6" w:rsidRDefault="0048097F">
      <w:pPr>
        <w:jc w:val="both"/>
      </w:pPr>
      <w:r>
        <w:rPr>
          <w:rFonts w:ascii="Arial" w:hAnsi="Arial"/>
        </w:rPr>
        <w:t xml:space="preserve">3. Beneficjent – Gmina Starogard Gdański z siedzibą w Starogardzie Gdańskim ul. Gen. Władysława Sikorskiego 9; </w:t>
      </w:r>
    </w:p>
    <w:p w14:paraId="3128D8D9" w14:textId="77777777" w:rsidR="005636A6" w:rsidRDefault="0048097F">
      <w:pPr>
        <w:jc w:val="both"/>
      </w:pPr>
      <w:r>
        <w:rPr>
          <w:rFonts w:ascii="Arial" w:hAnsi="Arial"/>
        </w:rPr>
        <w:t>4. Podmioty upoważnione do ponoszenia wydatków kwalifikowanych - Gmina Miejska Starogard Gdański z siedzibą w Starogardzie Gdańskim ul. Gdańska 6 oraz Przedsiębiorstwo Wodociągów i Kanalizacji „Star -</w:t>
      </w:r>
      <w:proofErr w:type="spellStart"/>
      <w:r>
        <w:rPr>
          <w:rFonts w:ascii="Arial" w:hAnsi="Arial"/>
        </w:rPr>
        <w:t>Wik</w:t>
      </w:r>
      <w:proofErr w:type="spellEnd"/>
      <w:r>
        <w:rPr>
          <w:rFonts w:ascii="Arial" w:hAnsi="Arial"/>
        </w:rPr>
        <w:t>” Sp. z o. o. z siedzibą w Starogardzie Gdańskim ul. Lubichowska 128.</w:t>
      </w:r>
    </w:p>
    <w:p w14:paraId="0713C405" w14:textId="77777777" w:rsidR="005636A6" w:rsidRDefault="005636A6">
      <w:pPr>
        <w:jc w:val="both"/>
      </w:pPr>
    </w:p>
    <w:p w14:paraId="1C53965C" w14:textId="77777777" w:rsidR="005636A6" w:rsidRDefault="0048097F">
      <w:pPr>
        <w:jc w:val="both"/>
      </w:pPr>
      <w:r>
        <w:rPr>
          <w:rFonts w:ascii="Arial" w:hAnsi="Arial"/>
          <w:b/>
          <w:bCs/>
        </w:rPr>
        <w:t xml:space="preserve">II. Cel przetwarzania danych </w:t>
      </w:r>
    </w:p>
    <w:p w14:paraId="4DBC1725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Dane osobowe będziemy przetwarzać w związku z realizacją </w:t>
      </w:r>
      <w:proofErr w:type="spellStart"/>
      <w:r>
        <w:rPr>
          <w:rFonts w:ascii="Arial" w:hAnsi="Arial"/>
        </w:rPr>
        <w:t>FEnIKS</w:t>
      </w:r>
      <w:proofErr w:type="spellEnd"/>
      <w:r>
        <w:rPr>
          <w:rFonts w:ascii="Arial" w:hAnsi="Arial"/>
        </w:rPr>
        <w:t xml:space="preserve"> 2021-2027, w szczególności w celach związanych z realizacją projektu FENX.01.03-IW.01-0018/23 pn. „Poprawa gospodarki wodno-ściekowej w aglomeracji Starogard Gdański” w tym: przygotowanie przedsięwzięcia do realizacji, realizacja zakresu rzeczowego projektu, przygotowanie przetargów zgodnie z prawem zamówień publicznych, rozliczenie przedsięwzięcia, monitorowanie projektu, sprawozdawczość. </w:t>
      </w:r>
    </w:p>
    <w:p w14:paraId="43D0CA79" w14:textId="77777777" w:rsidR="005636A6" w:rsidRDefault="0048097F">
      <w:pPr>
        <w:jc w:val="both"/>
      </w:pPr>
      <w:r>
        <w:rPr>
          <w:rFonts w:ascii="Arial" w:hAnsi="Arial"/>
        </w:rPr>
        <w:t xml:space="preserve">Podanie danych jest dobrowolne, ale konieczne do realizacji ww. celów. Odmowa ich podania jest równoznaczna z brakiem możliwości podjęcia stosownych działań. </w:t>
      </w:r>
    </w:p>
    <w:p w14:paraId="3BF44A3E" w14:textId="77777777" w:rsidR="005636A6" w:rsidRDefault="005636A6">
      <w:pPr>
        <w:jc w:val="both"/>
      </w:pPr>
    </w:p>
    <w:p w14:paraId="25D0EE8A" w14:textId="77777777" w:rsidR="005636A6" w:rsidRDefault="0048097F">
      <w:pPr>
        <w:jc w:val="both"/>
      </w:pPr>
      <w:r>
        <w:rPr>
          <w:rFonts w:ascii="Arial" w:hAnsi="Arial"/>
          <w:b/>
          <w:bCs/>
        </w:rPr>
        <w:lastRenderedPageBreak/>
        <w:t xml:space="preserve">III. Podstawa przetwarzania </w:t>
      </w:r>
    </w:p>
    <w:p w14:paraId="5B5BD895" w14:textId="77777777" w:rsidR="005636A6" w:rsidRDefault="0048097F">
      <w:pPr>
        <w:jc w:val="both"/>
      </w:pPr>
      <w:r>
        <w:rPr>
          <w:rFonts w:ascii="Arial" w:hAnsi="Arial"/>
        </w:rPr>
        <w:t xml:space="preserve">Będziemy przetwarzać dane osobowe w związku z tym, że: </w:t>
      </w:r>
    </w:p>
    <w:p w14:paraId="6D90ABA9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1. Zobowiązuje nas do tego </w:t>
      </w:r>
      <w:r>
        <w:rPr>
          <w:rFonts w:ascii="Arial" w:hAnsi="Arial"/>
          <w:b/>
          <w:bCs/>
        </w:rPr>
        <w:t xml:space="preserve">prawo </w:t>
      </w:r>
      <w:r>
        <w:rPr>
          <w:rFonts w:ascii="Arial" w:hAnsi="Arial"/>
        </w:rPr>
        <w:t xml:space="preserve">(art. 6 ust. 1 lit. c RODO) lub wykonujemy zadania w interesie publicznym albo sprawujemy powierzoną nam władzę publiczną (art. 6 ust. 1 lit. e RODO), a wszystkie te zobowiązania wynikają z poniższych przepisów prawa: </w:t>
      </w:r>
    </w:p>
    <w:p w14:paraId="621662EF" w14:textId="77777777" w:rsidR="005636A6" w:rsidRDefault="0048097F">
      <w:pPr>
        <w:jc w:val="both"/>
      </w:pPr>
      <w:r>
        <w:rPr>
          <w:rFonts w:ascii="Arial" w:hAnsi="Arial"/>
        </w:rPr>
        <w:t xml:space="preserve">-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0FDE6470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- rozporządzenie Parlamentu Europejskiego i Rady (UE) nr 2021/1058 z 24 czerwca 2021 r. w sprawie Europejskiego Funduszu Rozwoju Regionalnego i Funduszu Spójności, </w:t>
      </w:r>
    </w:p>
    <w:p w14:paraId="61BFC898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- rozporządzenie Parlamentu Europejskiego i Rady (UE, </w:t>
      </w:r>
      <w:proofErr w:type="spellStart"/>
      <w:r>
        <w:rPr>
          <w:rFonts w:ascii="Arial" w:hAnsi="Arial"/>
        </w:rPr>
        <w:t>Euratom</w:t>
      </w:r>
      <w:proofErr w:type="spellEnd"/>
      <w:r>
        <w:rPr>
          <w:rFonts w:ascii="Arial" w:hAnsi="Arial"/>
        </w:rPr>
        <w:t xml:space="preserve">) 2018/1046 z 18 lipca 2018 r. w sprawie zasad finansowych mających zastosowanie do budżetu ogólnego Unii, zmieniające rozporządzenia (UE) nr 1296/2013, (UE) nr 1301/2013, (UE) nr 1303/2013, (UE) nr 1304/2013, (UE) nr 1309/2013, (UE) nr 1316/2013, (UE) nr 223/2014 i (UE) nr 283/2014 oraz decyzję nr 541/2014/UE, a także uchylające rozporządzenie (UE, </w:t>
      </w:r>
      <w:proofErr w:type="spellStart"/>
      <w:r>
        <w:rPr>
          <w:rFonts w:ascii="Arial" w:hAnsi="Arial"/>
        </w:rPr>
        <w:t>Euratom</w:t>
      </w:r>
      <w:proofErr w:type="spellEnd"/>
      <w:r>
        <w:rPr>
          <w:rFonts w:ascii="Arial" w:hAnsi="Arial"/>
        </w:rPr>
        <w:t xml:space="preserve">) nr 966/2012, </w:t>
      </w:r>
    </w:p>
    <w:p w14:paraId="157F59FF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- ustawa z 28 kwietnia 2022 r. o zasadach realizacji zadań finansowanych ze środków europejskich w perspektywie finansowej 2021-2027, </w:t>
      </w:r>
    </w:p>
    <w:p w14:paraId="51AC38E5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- ustawa z 14 czerwca 1960 r. – Kodeks postępowania administracyjnego, </w:t>
      </w:r>
    </w:p>
    <w:p w14:paraId="570F77F1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- ustawa z 27 sierpnia 2009 r. o finansach publicznych. </w:t>
      </w:r>
    </w:p>
    <w:p w14:paraId="07792EB9" w14:textId="77777777" w:rsidR="005636A6" w:rsidRDefault="0048097F">
      <w:pPr>
        <w:jc w:val="both"/>
      </w:pPr>
      <w:r>
        <w:rPr>
          <w:rFonts w:ascii="Arial" w:hAnsi="Arial"/>
        </w:rPr>
        <w:t xml:space="preserve">2. Przygotowujemy i realizujemy </w:t>
      </w:r>
      <w:r>
        <w:rPr>
          <w:rFonts w:ascii="Arial" w:hAnsi="Arial"/>
          <w:b/>
          <w:bCs/>
        </w:rPr>
        <w:t>umowy</w:t>
      </w:r>
      <w:r>
        <w:rPr>
          <w:rFonts w:ascii="Arial" w:hAnsi="Arial"/>
        </w:rPr>
        <w:t xml:space="preserve">, których stroną są osoby, których dane dotyczą, a przetwarzanie danych osobowych jest niezbędne do ich zawarcia i wykonania (art. 6 lit 1 ust. b RODO). </w:t>
      </w:r>
    </w:p>
    <w:p w14:paraId="4F021E56" w14:textId="77777777" w:rsidR="005636A6" w:rsidRDefault="005636A6">
      <w:pPr>
        <w:jc w:val="both"/>
      </w:pPr>
    </w:p>
    <w:p w14:paraId="1F52ACC0" w14:textId="77777777" w:rsidR="005636A6" w:rsidRDefault="0048097F">
      <w:pPr>
        <w:jc w:val="both"/>
      </w:pPr>
      <w:r>
        <w:rPr>
          <w:rFonts w:ascii="Arial" w:hAnsi="Arial"/>
          <w:b/>
          <w:bCs/>
        </w:rPr>
        <w:t xml:space="preserve">IV. Rodzaje przetwarzanych danych </w:t>
      </w:r>
    </w:p>
    <w:p w14:paraId="41B9FD9E" w14:textId="77777777" w:rsidR="005636A6" w:rsidRDefault="0048097F">
      <w:pPr>
        <w:jc w:val="both"/>
      </w:pPr>
      <w:r>
        <w:rPr>
          <w:rFonts w:ascii="Arial" w:hAnsi="Arial"/>
        </w:rPr>
        <w:t xml:space="preserve">Możemy przetwarzać następujące rodzaje danych: </w:t>
      </w:r>
    </w:p>
    <w:p w14:paraId="17437543" w14:textId="77777777" w:rsidR="005636A6" w:rsidRDefault="0048097F">
      <w:pPr>
        <w:jc w:val="both"/>
      </w:pPr>
      <w:r>
        <w:rPr>
          <w:rFonts w:ascii="Arial" w:hAnsi="Arial"/>
        </w:rPr>
        <w:t xml:space="preserve">1. dane identyfikacyjne, wskazane w art. 87 ust. 2 pkt 1 ustawy wdrożeniowej, w tym: imię, nazwisko, adres, adres poczty elektronicznej, numer telefonu, numer faksu, PESEL, REGON, wykształcenie, identyfikatory internetowe, </w:t>
      </w:r>
    </w:p>
    <w:p w14:paraId="11F63D2C" w14:textId="77777777" w:rsidR="005636A6" w:rsidRDefault="0048097F">
      <w:pPr>
        <w:jc w:val="both"/>
      </w:pPr>
      <w:r>
        <w:rPr>
          <w:rFonts w:ascii="Arial" w:hAnsi="Arial"/>
        </w:rPr>
        <w:t xml:space="preserve">2. dane związane z zakresem uczestnictwa osób fizycznych w projekcie, wskazane w art. 87 ust. 2 pkt 2 ustawy wdrożeniowej, w tym: wynagrodzenie, formę i okres zaangażowania w projekcie, </w:t>
      </w:r>
    </w:p>
    <w:p w14:paraId="2E956C72" w14:textId="77777777" w:rsidR="005636A6" w:rsidRDefault="0048097F">
      <w:pPr>
        <w:jc w:val="both"/>
      </w:pPr>
      <w:r>
        <w:rPr>
          <w:rFonts w:ascii="Arial" w:hAnsi="Arial"/>
        </w:rPr>
        <w:t xml:space="preserve">3. dane osób fizycznych widniejące na dokumentach potwierdzających kwalifikowalność wydatków, wskazane w art. 87 ust. 2 pkt 3 ustawy wdrożeniowej, m.in. numer rachunku bankowego, numer uprawnień budowlanych, numer księgi wieczystej, </w:t>
      </w:r>
    </w:p>
    <w:p w14:paraId="356E1261" w14:textId="77777777" w:rsidR="005636A6" w:rsidRDefault="0048097F">
      <w:pPr>
        <w:jc w:val="both"/>
      </w:pPr>
      <w:r>
        <w:rPr>
          <w:rFonts w:ascii="Arial" w:hAnsi="Arial"/>
        </w:rPr>
        <w:t xml:space="preserve">4. dane dotyczące wizerunku i głosu osób uczestniczących w realizacji </w:t>
      </w:r>
      <w:proofErr w:type="spellStart"/>
      <w:r>
        <w:rPr>
          <w:rFonts w:ascii="Arial" w:hAnsi="Arial"/>
        </w:rPr>
        <w:t>FEnIKS</w:t>
      </w:r>
      <w:proofErr w:type="spellEnd"/>
      <w:r>
        <w:rPr>
          <w:rFonts w:ascii="Arial" w:hAnsi="Arial"/>
        </w:rPr>
        <w:t xml:space="preserve"> 2021-2027 lub biorących udział w wydarzeniach z nim związanych. </w:t>
      </w:r>
    </w:p>
    <w:p w14:paraId="5AC3D938" w14:textId="77777777" w:rsidR="005636A6" w:rsidRDefault="0048097F">
      <w:pPr>
        <w:jc w:val="both"/>
      </w:pPr>
      <w:r>
        <w:rPr>
          <w:rFonts w:ascii="Arial" w:hAnsi="Arial"/>
        </w:rPr>
        <w:t xml:space="preserve">Dane pozyskujemy bezpośrednio od osób, których one dotyczą, albo od instytucji i podmiotów zaangażowanych w realizację </w:t>
      </w:r>
      <w:proofErr w:type="spellStart"/>
      <w:r>
        <w:rPr>
          <w:rFonts w:ascii="Arial" w:hAnsi="Arial"/>
        </w:rPr>
        <w:t>FEnIKS</w:t>
      </w:r>
      <w:proofErr w:type="spellEnd"/>
      <w:r>
        <w:rPr>
          <w:rFonts w:ascii="Arial" w:hAnsi="Arial"/>
        </w:rPr>
        <w:t xml:space="preserve"> 2021-2027, w tym w szczególności od wnioskodawców, beneficjentów, partnerów, wykonawców. </w:t>
      </w:r>
    </w:p>
    <w:p w14:paraId="26712C36" w14:textId="77777777" w:rsidR="005636A6" w:rsidRDefault="005636A6">
      <w:pPr>
        <w:jc w:val="both"/>
      </w:pPr>
    </w:p>
    <w:p w14:paraId="5EB9D88D" w14:textId="77777777" w:rsidR="005636A6" w:rsidRDefault="0048097F">
      <w:pPr>
        <w:jc w:val="both"/>
      </w:pPr>
      <w:r>
        <w:rPr>
          <w:rFonts w:ascii="Arial" w:hAnsi="Arial"/>
          <w:b/>
          <w:bCs/>
        </w:rPr>
        <w:t xml:space="preserve">V. Odbiorcy danych osobowych </w:t>
      </w:r>
    </w:p>
    <w:p w14:paraId="1AB57743" w14:textId="77777777" w:rsidR="005636A6" w:rsidRDefault="0048097F">
      <w:pPr>
        <w:spacing w:after="120"/>
        <w:jc w:val="both"/>
      </w:pPr>
      <w:r>
        <w:rPr>
          <w:rFonts w:ascii="Arial" w:hAnsi="Arial"/>
        </w:rPr>
        <w:lastRenderedPageBreak/>
        <w:t xml:space="preserve">Ponadto dane osobowe mogą być powierzane lub udostępniane: </w:t>
      </w:r>
    </w:p>
    <w:p w14:paraId="3EACF73E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1. innym podmiotom, w tym ekspertom o których mowa w art. 80 ustawy wdrożeniowej, którym zleciliśmy wykonywanie zadań w </w:t>
      </w:r>
      <w:proofErr w:type="spellStart"/>
      <w:r>
        <w:rPr>
          <w:rFonts w:ascii="Arial" w:hAnsi="Arial"/>
        </w:rPr>
        <w:t>FEnIKS</w:t>
      </w:r>
      <w:proofErr w:type="spellEnd"/>
      <w:r>
        <w:rPr>
          <w:rFonts w:ascii="Arial" w:hAnsi="Arial"/>
        </w:rPr>
        <w:t xml:space="preserve"> 2021-2027, </w:t>
      </w:r>
    </w:p>
    <w:p w14:paraId="0C95DE51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2. Instytucji Audytowej, o której mowa w art. 71 rozporządzenia 2021/1060 z 24 czerwca 2021 r. którą w przypadku </w:t>
      </w:r>
      <w:proofErr w:type="spellStart"/>
      <w:r>
        <w:rPr>
          <w:rFonts w:ascii="Arial" w:hAnsi="Arial"/>
        </w:rPr>
        <w:t>FEnIKS</w:t>
      </w:r>
      <w:proofErr w:type="spellEnd"/>
      <w:r>
        <w:rPr>
          <w:rFonts w:ascii="Arial" w:hAnsi="Arial"/>
        </w:rPr>
        <w:t xml:space="preserve"> 2021-2027 jest Szef Krajowej Administracji Skarbowej [4], </w:t>
      </w:r>
    </w:p>
    <w:p w14:paraId="6C7E8644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3. instytucjom Unii Europejskiej (UE) lub podmiotom, którym UE powierzyła zadania dotyczące wdrażania </w:t>
      </w:r>
      <w:proofErr w:type="spellStart"/>
      <w:r>
        <w:rPr>
          <w:rFonts w:ascii="Arial" w:hAnsi="Arial"/>
        </w:rPr>
        <w:t>FEnIKS</w:t>
      </w:r>
      <w:proofErr w:type="spellEnd"/>
      <w:r>
        <w:rPr>
          <w:rFonts w:ascii="Arial" w:hAnsi="Arial"/>
        </w:rPr>
        <w:t xml:space="preserve"> 2021-2027; </w:t>
      </w:r>
    </w:p>
    <w:p w14:paraId="4CF1CB6C" w14:textId="77777777" w:rsidR="005636A6" w:rsidRDefault="0048097F">
      <w:pPr>
        <w:jc w:val="both"/>
      </w:pPr>
      <w:r>
        <w:rPr>
          <w:rFonts w:ascii="Arial" w:hAnsi="Arial"/>
        </w:rPr>
        <w:t>4. podmiotom, które wykonują dla nas usługi związane z obsługą i rozwojem systemów teleinformatycznych, a także zapewnieniem łączności, np. dostawcom rozwiązań IT i operatorom telekomunikacyjnym, a także podmiotom lub organom uprawnionym na podstawie przepisów prawa.</w:t>
      </w:r>
    </w:p>
    <w:p w14:paraId="7315DDA6" w14:textId="77777777" w:rsidR="005636A6" w:rsidRDefault="005636A6">
      <w:pPr>
        <w:jc w:val="both"/>
      </w:pPr>
    </w:p>
    <w:p w14:paraId="28E52D55" w14:textId="77777777" w:rsidR="005636A6" w:rsidRDefault="0048097F">
      <w:pPr>
        <w:jc w:val="both"/>
      </w:pPr>
      <w:r>
        <w:rPr>
          <w:rFonts w:ascii="Arial" w:hAnsi="Arial"/>
          <w:b/>
          <w:bCs/>
        </w:rPr>
        <w:t xml:space="preserve">VI. Okres przechowywania danych </w:t>
      </w:r>
    </w:p>
    <w:p w14:paraId="7B08CB73" w14:textId="77777777" w:rsidR="005636A6" w:rsidRDefault="0048097F">
      <w:pPr>
        <w:jc w:val="both"/>
      </w:pPr>
      <w:r>
        <w:rPr>
          <w:rFonts w:ascii="Arial" w:hAnsi="Arial"/>
        </w:rPr>
        <w:t xml:space="preserve">Będziemy przechowywać dane osobowe zgodnie z przepisami o narodowym zasobie archiwalnym i archiwach, przez okres realizacji umowy o dofinansowanie, w tym co najmniej przez okres 5 lat od 31 grudnia roku, w którym IP/IW dokona ostatniej płatności na rzecz Beneficjenta z zastrzeżeniem postanowień umowy o dofinansowanie , które mogą przewidywać dłuższy termin przeprowadzania kontroli, a ponadto przepisów dotyczących pomocy publicznej i pomocy </w:t>
      </w:r>
      <w:r>
        <w:rPr>
          <w:rFonts w:ascii="Arial" w:hAnsi="Arial"/>
          <w:i/>
          <w:iCs/>
        </w:rPr>
        <w:t xml:space="preserve">de </w:t>
      </w:r>
      <w:proofErr w:type="spellStart"/>
      <w:r>
        <w:rPr>
          <w:rFonts w:ascii="Arial" w:hAnsi="Arial"/>
          <w:i/>
          <w:iCs/>
        </w:rPr>
        <w:t>minimis</w:t>
      </w:r>
      <w:proofErr w:type="spellEnd"/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 xml:space="preserve">oraz przepisów dotyczących podatku od towarów i usług. </w:t>
      </w:r>
    </w:p>
    <w:p w14:paraId="1B71F61D" w14:textId="77777777" w:rsidR="005636A6" w:rsidRDefault="005636A6">
      <w:pPr>
        <w:jc w:val="both"/>
      </w:pPr>
    </w:p>
    <w:p w14:paraId="7DFB6968" w14:textId="77777777" w:rsidR="005636A6" w:rsidRDefault="0048097F">
      <w:pPr>
        <w:jc w:val="both"/>
      </w:pPr>
      <w:r>
        <w:rPr>
          <w:rFonts w:ascii="Arial" w:hAnsi="Arial"/>
          <w:b/>
          <w:bCs/>
        </w:rPr>
        <w:t xml:space="preserve">VII. Prawa osób, których dane dotyczą </w:t>
      </w:r>
    </w:p>
    <w:p w14:paraId="3107C7CC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Osobom, których dane przetwarzamy przysługują następujące prawa: </w:t>
      </w:r>
    </w:p>
    <w:p w14:paraId="1288B142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1. prawo dostępu do swoich danych oraz otrzymania ich kopii (art. 15 RODO), </w:t>
      </w:r>
    </w:p>
    <w:p w14:paraId="2104E3C8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2. prawo do sprostowania swoich danych (art. 16 RODO), </w:t>
      </w:r>
    </w:p>
    <w:p w14:paraId="53A328FA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3. prawo do żądania od administratora ograniczenia przetwarzania swoich danych (art. 18 RODO), </w:t>
      </w:r>
    </w:p>
    <w:p w14:paraId="3567D6F0" w14:textId="77777777" w:rsidR="005636A6" w:rsidRDefault="0048097F">
      <w:pPr>
        <w:jc w:val="both"/>
      </w:pPr>
      <w:r>
        <w:rPr>
          <w:rFonts w:ascii="Arial" w:hAnsi="Arial"/>
        </w:rPr>
        <w:t xml:space="preserve">4. prawo wniesienia sprzeciwu wobec przetwarzania swoich danych (art. 21 RODO) - jeśli przetwarzanie odbywa się w celu wykonywania zadania realizowanego w interesie publicznym lub w ramach sprawowania władzy publicznej, powierzonej administratorowi (tj. w celu, o którym mowa w art. 6 ust. 1 lit. e), </w:t>
      </w:r>
    </w:p>
    <w:p w14:paraId="6BAD800A" w14:textId="77777777" w:rsidR="005636A6" w:rsidRDefault="0048097F">
      <w:pPr>
        <w:jc w:val="both"/>
      </w:pPr>
      <w:r>
        <w:rPr>
          <w:rFonts w:ascii="Arial" w:hAnsi="Arial"/>
        </w:rPr>
        <w:t xml:space="preserve">5. 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 </w:t>
      </w:r>
    </w:p>
    <w:p w14:paraId="7A15EB14" w14:textId="77777777" w:rsidR="005636A6" w:rsidRDefault="005636A6">
      <w:pPr>
        <w:jc w:val="both"/>
      </w:pPr>
    </w:p>
    <w:p w14:paraId="35E84A63" w14:textId="77777777" w:rsidR="005636A6" w:rsidRDefault="0048097F">
      <w:pPr>
        <w:jc w:val="both"/>
      </w:pPr>
      <w:r>
        <w:rPr>
          <w:rFonts w:ascii="Arial" w:hAnsi="Arial"/>
          <w:b/>
          <w:bCs/>
        </w:rPr>
        <w:t xml:space="preserve">VIII. Zautomatyzowane podejmowanie decyzji </w:t>
      </w:r>
    </w:p>
    <w:p w14:paraId="2B7A9600" w14:textId="77777777" w:rsidR="005636A6" w:rsidRDefault="0048097F">
      <w:pPr>
        <w:jc w:val="both"/>
      </w:pPr>
      <w:r>
        <w:rPr>
          <w:rFonts w:ascii="Arial" w:hAnsi="Arial"/>
        </w:rPr>
        <w:t xml:space="preserve">Dane osobowe nie będą podlegały zautomatyzowanemu podejmowaniu decyzji, w tym profilowaniu. </w:t>
      </w:r>
    </w:p>
    <w:p w14:paraId="18D95645" w14:textId="77777777" w:rsidR="005636A6" w:rsidRDefault="005636A6">
      <w:pPr>
        <w:jc w:val="both"/>
      </w:pPr>
    </w:p>
    <w:p w14:paraId="64CF477E" w14:textId="77777777" w:rsidR="005636A6" w:rsidRDefault="0048097F">
      <w:pPr>
        <w:jc w:val="both"/>
      </w:pPr>
      <w:r>
        <w:rPr>
          <w:rFonts w:ascii="Arial" w:hAnsi="Arial"/>
          <w:b/>
          <w:bCs/>
        </w:rPr>
        <w:t xml:space="preserve">IX. Przekazywanie danych do państwa trzeciego </w:t>
      </w:r>
    </w:p>
    <w:p w14:paraId="7EF68FFA" w14:textId="77777777" w:rsidR="005636A6" w:rsidRDefault="0048097F">
      <w:pPr>
        <w:jc w:val="both"/>
      </w:pPr>
      <w:r>
        <w:rPr>
          <w:rFonts w:ascii="Arial" w:hAnsi="Arial"/>
        </w:rPr>
        <w:t xml:space="preserve">Nie zamierzamy przekazywać danych osobowych do państwa trzeciego lub organizacji międzynarodowej innej niż Unia Europejska. </w:t>
      </w:r>
    </w:p>
    <w:p w14:paraId="53FE568A" w14:textId="77777777" w:rsidR="005636A6" w:rsidRDefault="005636A6">
      <w:pPr>
        <w:jc w:val="both"/>
      </w:pPr>
    </w:p>
    <w:p w14:paraId="5F4ADB8D" w14:textId="77777777" w:rsidR="005636A6" w:rsidRDefault="0048097F">
      <w:pPr>
        <w:jc w:val="both"/>
      </w:pPr>
      <w:r>
        <w:rPr>
          <w:rFonts w:ascii="Arial" w:hAnsi="Arial"/>
          <w:b/>
          <w:bCs/>
        </w:rPr>
        <w:t xml:space="preserve">X. Kontakt z administratorem danych i Inspektorem Ochrony Danych </w:t>
      </w:r>
    </w:p>
    <w:p w14:paraId="55D58DE2" w14:textId="77777777" w:rsidR="005636A6" w:rsidRDefault="0048097F">
      <w:pPr>
        <w:jc w:val="both"/>
      </w:pPr>
      <w:r>
        <w:rPr>
          <w:rFonts w:ascii="Arial" w:hAnsi="Arial"/>
        </w:rPr>
        <w:lastRenderedPageBreak/>
        <w:t>Pytania dotyczące przetwarzania danych osobowych przez Administratora jakim jest Gmina Miejska Starogard Gdański można kierować do Inspektora Ochrony Danych (IOD) w następujący sposób:</w:t>
      </w:r>
    </w:p>
    <w:p w14:paraId="7CB0F2E3" w14:textId="77777777" w:rsidR="005636A6" w:rsidRDefault="0048097F">
      <w:pPr>
        <w:pStyle w:val="Akapitzlist"/>
        <w:jc w:val="both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a)  drogą elektroniczną: iod@um.starogard.pl,</w:t>
      </w:r>
    </w:p>
    <w:p w14:paraId="2B62DBDD" w14:textId="77777777" w:rsidR="005636A6" w:rsidRDefault="0048097F">
      <w:pPr>
        <w:pStyle w:val="Akapitzlist"/>
        <w:jc w:val="both"/>
        <w:rPr>
          <w:rFonts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b) osobiście w siedzibie Urzędu Miasta w Starogardzie Gdańskim przy ul. Gdańskiej 6.</w:t>
      </w:r>
    </w:p>
    <w:p w14:paraId="0A996842" w14:textId="77777777" w:rsidR="005636A6" w:rsidRDefault="005636A6">
      <w:pPr>
        <w:pStyle w:val="Akapitzlist"/>
        <w:jc w:val="both"/>
        <w:rPr>
          <w:rFonts w:cs="Times New Roman"/>
          <w:color w:val="000000"/>
          <w:sz w:val="24"/>
          <w:szCs w:val="24"/>
        </w:rPr>
      </w:pPr>
    </w:p>
    <w:p w14:paraId="3A415D94" w14:textId="77777777" w:rsidR="005636A6" w:rsidRDefault="005636A6">
      <w:pPr>
        <w:pStyle w:val="Akapitzlist"/>
        <w:jc w:val="both"/>
        <w:rPr>
          <w:rFonts w:cs="Times New Roman"/>
          <w:color w:val="000000"/>
          <w:sz w:val="24"/>
          <w:szCs w:val="24"/>
        </w:rPr>
      </w:pPr>
    </w:p>
    <w:p w14:paraId="78AFDA0B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[1] Rozporządzenie Parlamentu Europejskiego i Rady (UE) 2016/679 z 27 kwietnia 2016 r. w sprawie ochrony osób fizycznych w związku z przetwarzaniem danych osobowych i w sprawie swobodnego przepływu takich danych (Dz. Urz. UE. L 119 z 4 maja 2016 r., s.1-88; Dz. Urz. UE L 127 z 23 maja 2018, str. 2 oraz Dz. Urz. UE L 74 z 4 marca 2021, str. 35), zwane dalej „RODO”. </w:t>
      </w:r>
    </w:p>
    <w:p w14:paraId="0D4CCBB0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[2] Ustawa z 28 kwietnia 2022 r. o zasadach realizacji zadań finansowanych ze środków europejskich w perspektywie finansowej 2021-2027 (Dz. U. z 2022 r., poz. 1079), zwana dalej „ustawą wdrożeniową”. </w:t>
      </w:r>
    </w:p>
    <w:p w14:paraId="562EE3CC" w14:textId="77777777" w:rsidR="005636A6" w:rsidRDefault="0048097F">
      <w:pPr>
        <w:spacing w:after="120"/>
        <w:jc w:val="both"/>
      </w:pPr>
      <w:r>
        <w:rPr>
          <w:rFonts w:ascii="Arial" w:hAnsi="Arial"/>
        </w:rPr>
        <w:t xml:space="preserve">[3] Na podstawie art. 8 ust. 1 pkt 1 ustawy wdrożeniowej. </w:t>
      </w:r>
    </w:p>
    <w:p w14:paraId="5FE5E02D" w14:textId="77777777" w:rsidR="005636A6" w:rsidRDefault="0048097F">
      <w:pPr>
        <w:spacing w:after="120"/>
        <w:jc w:val="both"/>
      </w:pPr>
      <w:r>
        <w:rPr>
          <w:rFonts w:ascii="Arial" w:eastAsia="Tahoma" w:hAnsi="Arial" w:cs="Arial"/>
          <w:sz w:val="22"/>
          <w:szCs w:val="22"/>
          <w:shd w:val="clear" w:color="auto" w:fill="FFFFFF"/>
          <w:lang w:eastAsia="pl-PL"/>
        </w:rPr>
        <w:t>[4] Na podstawie art. 13 ust. 1 ustawy wdrożeniowej</w:t>
      </w:r>
    </w:p>
    <w:sectPr w:rsidR="005636A6">
      <w:headerReference w:type="default" r:id="rId8"/>
      <w:footerReference w:type="default" r:id="rId9"/>
      <w:footerReference w:type="firs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262F0" w14:textId="77777777" w:rsidR="0048097F" w:rsidRDefault="0048097F">
      <w:r>
        <w:separator/>
      </w:r>
    </w:p>
  </w:endnote>
  <w:endnote w:type="continuationSeparator" w:id="0">
    <w:p w14:paraId="152B3BAA" w14:textId="77777777" w:rsidR="0048097F" w:rsidRDefault="0048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-Bold">
    <w:panose1 w:val="00000000000000000000"/>
    <w:charset w:val="00"/>
    <w:family w:val="roman"/>
    <w:notTrueType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515C" w14:textId="77777777" w:rsidR="005636A6" w:rsidRDefault="0048097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E3923" w14:textId="77777777" w:rsidR="005636A6" w:rsidRDefault="0048097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F36B" w14:textId="77777777" w:rsidR="0048097F" w:rsidRDefault="0048097F">
      <w:r>
        <w:separator/>
      </w:r>
    </w:p>
  </w:footnote>
  <w:footnote w:type="continuationSeparator" w:id="0">
    <w:p w14:paraId="3F9235B1" w14:textId="77777777" w:rsidR="0048097F" w:rsidRDefault="0048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0002" w14:textId="1E3D47E2" w:rsidR="00767791" w:rsidRDefault="00D33B7F" w:rsidP="00D33B7F">
    <w:pPr>
      <w:pStyle w:val="Nagwek"/>
      <w:jc w:val="center"/>
    </w:pPr>
    <w:r w:rsidRPr="00D33B7F">
      <w:rPr>
        <w:rFonts w:ascii="Times New Roman" w:hAnsi="Times New Roman" w:cs="Arial"/>
        <w:noProof/>
        <w:kern w:val="3"/>
      </w:rPr>
      <w:drawing>
        <wp:inline distT="0" distB="0" distL="0" distR="0" wp14:anchorId="2FFB607A" wp14:editId="59B0E4B6">
          <wp:extent cx="4829175" cy="932214"/>
          <wp:effectExtent l="0" t="0" r="0" b="1270"/>
          <wp:docPr id="17110809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1054" cy="940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32F8"/>
    <w:multiLevelType w:val="multilevel"/>
    <w:tmpl w:val="2AE89434"/>
    <w:lvl w:ilvl="0">
      <w:start w:val="1"/>
      <w:numFmt w:val="lowerLetter"/>
      <w:lvlText w:val="%1)"/>
      <w:lvlJc w:val="left"/>
      <w:pPr>
        <w:tabs>
          <w:tab w:val="num" w:pos="0"/>
        </w:tabs>
        <w:ind w:left="1356" w:hanging="360"/>
      </w:pPr>
      <w:rPr>
        <w:rFonts w:ascii="Tahoma" w:hAnsi="Tahoma" w:cs="Tahoma"/>
        <w:b w:val="0"/>
        <w:bCs w:val="0"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FD6CDC"/>
    <w:multiLevelType w:val="multilevel"/>
    <w:tmpl w:val="03646A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153E2D2C"/>
    <w:multiLevelType w:val="multilevel"/>
    <w:tmpl w:val="7EF4CEF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b w:val="0"/>
        <w:bCs w:val="0"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6D50B8"/>
    <w:multiLevelType w:val="multilevel"/>
    <w:tmpl w:val="B6B60F6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4C5EFF"/>
    <w:multiLevelType w:val="multilevel"/>
    <w:tmpl w:val="662A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5" w15:restartNumberingAfterBreak="0">
    <w:nsid w:val="2C957BA6"/>
    <w:multiLevelType w:val="multilevel"/>
    <w:tmpl w:val="AE80E832"/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38426D01"/>
    <w:multiLevelType w:val="multilevel"/>
    <w:tmpl w:val="FB7EA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9326C63"/>
    <w:multiLevelType w:val="multilevel"/>
    <w:tmpl w:val="D8B0982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B015E65"/>
    <w:multiLevelType w:val="multilevel"/>
    <w:tmpl w:val="291A1B7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/>
        <w:b w:val="0"/>
        <w:bCs w:val="0"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FC0562"/>
    <w:multiLevelType w:val="multilevel"/>
    <w:tmpl w:val="648A972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80B204D"/>
    <w:multiLevelType w:val="multilevel"/>
    <w:tmpl w:val="A7DA081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A294F81"/>
    <w:multiLevelType w:val="multilevel"/>
    <w:tmpl w:val="A01259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E262EC"/>
    <w:multiLevelType w:val="multilevel"/>
    <w:tmpl w:val="6E98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B645720"/>
    <w:multiLevelType w:val="multilevel"/>
    <w:tmpl w:val="60BEC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B755730"/>
    <w:multiLevelType w:val="multilevel"/>
    <w:tmpl w:val="36EA296E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02707B9"/>
    <w:multiLevelType w:val="multilevel"/>
    <w:tmpl w:val="0240B63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A7679A5"/>
    <w:multiLevelType w:val="multilevel"/>
    <w:tmpl w:val="25DCD51C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3695573"/>
    <w:multiLevelType w:val="multilevel"/>
    <w:tmpl w:val="D18EBDAC"/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7F1F1F9E"/>
    <w:multiLevelType w:val="multilevel"/>
    <w:tmpl w:val="5ABAE802"/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942684835">
    <w:abstractNumId w:val="17"/>
  </w:num>
  <w:num w:numId="2" w16cid:durableId="1465662884">
    <w:abstractNumId w:val="5"/>
  </w:num>
  <w:num w:numId="3" w16cid:durableId="852839252">
    <w:abstractNumId w:val="18"/>
  </w:num>
  <w:num w:numId="4" w16cid:durableId="1694770296">
    <w:abstractNumId w:val="11"/>
  </w:num>
  <w:num w:numId="5" w16cid:durableId="32734939">
    <w:abstractNumId w:val="1"/>
  </w:num>
  <w:num w:numId="6" w16cid:durableId="323365658">
    <w:abstractNumId w:val="12"/>
  </w:num>
  <w:num w:numId="7" w16cid:durableId="997877440">
    <w:abstractNumId w:val="10"/>
  </w:num>
  <w:num w:numId="8" w16cid:durableId="514004587">
    <w:abstractNumId w:val="2"/>
  </w:num>
  <w:num w:numId="9" w16cid:durableId="905803014">
    <w:abstractNumId w:val="0"/>
  </w:num>
  <w:num w:numId="10" w16cid:durableId="205533770">
    <w:abstractNumId w:val="7"/>
  </w:num>
  <w:num w:numId="11" w16cid:durableId="301279296">
    <w:abstractNumId w:val="14"/>
  </w:num>
  <w:num w:numId="12" w16cid:durableId="2122410174">
    <w:abstractNumId w:val="3"/>
  </w:num>
  <w:num w:numId="13" w16cid:durableId="1553730212">
    <w:abstractNumId w:val="9"/>
  </w:num>
  <w:num w:numId="14" w16cid:durableId="1925651739">
    <w:abstractNumId w:val="8"/>
  </w:num>
  <w:num w:numId="15" w16cid:durableId="618687852">
    <w:abstractNumId w:val="16"/>
  </w:num>
  <w:num w:numId="16" w16cid:durableId="495923916">
    <w:abstractNumId w:val="4"/>
  </w:num>
  <w:num w:numId="17" w16cid:durableId="763110859">
    <w:abstractNumId w:val="13"/>
  </w:num>
  <w:num w:numId="18" w16cid:durableId="35738784">
    <w:abstractNumId w:val="15"/>
  </w:num>
  <w:num w:numId="19" w16cid:durableId="746389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A6"/>
    <w:rsid w:val="003C648E"/>
    <w:rsid w:val="0048097F"/>
    <w:rsid w:val="004F46E1"/>
    <w:rsid w:val="005636A6"/>
    <w:rsid w:val="00767791"/>
    <w:rsid w:val="008675DB"/>
    <w:rsid w:val="009E0BA0"/>
    <w:rsid w:val="00D33B7F"/>
    <w:rsid w:val="00E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4B0D"/>
  <w15:docId w15:val="{0090FEDC-97B8-4A75-A601-180DBCC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 Unicode M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4"/>
      </w:numPr>
      <w:spacing w:before="480" w:after="200"/>
      <w:outlineLvl w:val="0"/>
    </w:pPr>
    <w:rPr>
      <w:rFonts w:ascii="Liberation Serif;Times New Roma" w:eastAsia="NSimSun" w:hAnsi="Liberation Serif;Times New Roma" w:cs="Arial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 w:after="200"/>
      <w:outlineLvl w:val="1"/>
    </w:pPr>
    <w:rPr>
      <w:rFonts w:ascii="Liberation Serif;Times New Roma" w:eastAsia="NSimSun" w:hAnsi="Liberation Serif;Times New Roma" w:cs="Arial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 w:after="200"/>
      <w:outlineLvl w:val="2"/>
    </w:pPr>
    <w:rPr>
      <w:rFonts w:ascii="Liberation Serif;Times New Roma" w:eastAsia="NSimSun" w:hAnsi="Liberation Serif;Times New Roma" w:cs="Arial"/>
      <w:b/>
      <w:bCs/>
      <w:color w:val="4F81BD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00" w:after="200"/>
      <w:outlineLvl w:val="3"/>
    </w:pPr>
    <w:rPr>
      <w:rFonts w:ascii="Liberation Serif;Times New Roma" w:eastAsia="NSimSun" w:hAnsi="Liberation Serif;Times New Roma" w:cs="Arial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Times New Roman" w:hAnsi="Times New Roman" w:cs="Tahoma"/>
      <w:sz w:val="24"/>
      <w:szCs w:val="24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b w:val="0"/>
    </w:rPr>
  </w:style>
  <w:style w:type="character" w:customStyle="1" w:styleId="WW8Num7z0">
    <w:name w:val="WW8Num7z0"/>
    <w:qFormat/>
    <w:rPr>
      <w:rFonts w:ascii="Cambria" w:eastAsia="Times New Roman" w:hAnsi="Cambria" w:cs="Aria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" w:hAnsi="Arial" w:cs="Arial"/>
      <w:b w:val="0"/>
      <w:bCs w:val="0"/>
      <w:sz w:val="21"/>
      <w:szCs w:val="21"/>
    </w:rPr>
  </w:style>
  <w:style w:type="character" w:customStyle="1" w:styleId="WW8Num9z4">
    <w:name w:val="WW8Num9z4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9z5">
    <w:name w:val="WW8Num9z5"/>
    <w:qFormat/>
    <w:rPr>
      <w:rFonts w:ascii="StarSymbol;Arial Unicode MS" w:eastAsia="OpenSymbol;Arial Unicode MS" w:hAnsi="StarSymbol;Arial Unicode MS" w:cs="OpenSymbol;Arial Unicode MS"/>
    </w:rPr>
  </w:style>
  <w:style w:type="character" w:customStyle="1" w:styleId="Domylnaczcionkaakapitu1">
    <w:name w:val="Domyślna czcionka akapitu1"/>
    <w:qFormat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 w:cs="Tahoma"/>
      <w:sz w:val="24"/>
      <w:szCs w:val="24"/>
    </w:rPr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styleId="Hipercze">
    <w:name w:val="Hyperlink"/>
    <w:rPr>
      <w:color w:val="000080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TitleChar">
    <w:name w:val="Title Char"/>
    <w:qFormat/>
    <w:rPr>
      <w:rFonts w:ascii="Liberation Serif;Times New Roma" w:eastAsia="NSimSun" w:hAnsi="Liberation Serif;Times New Roma" w:cs="Arial"/>
      <w:color w:val="17365D"/>
      <w:spacing w:val="5"/>
      <w:kern w:val="2"/>
      <w:sz w:val="52"/>
      <w:szCs w:val="52"/>
    </w:rPr>
  </w:style>
  <w:style w:type="character" w:customStyle="1" w:styleId="SubtitleChar">
    <w:name w:val="Subtitle Char"/>
    <w:qFormat/>
    <w:rPr>
      <w:rFonts w:ascii="Liberation Serif;Times New Roma" w:eastAsia="NSimSun" w:hAnsi="Liberation Serif;Times New Roma" w:cs="Arial"/>
      <w:i/>
      <w:iCs/>
      <w:color w:val="4F81BD"/>
      <w:spacing w:val="15"/>
      <w:sz w:val="24"/>
      <w:szCs w:val="24"/>
    </w:rPr>
  </w:style>
  <w:style w:type="character" w:customStyle="1" w:styleId="Heading4Char">
    <w:name w:val="Heading 4 Char"/>
    <w:qFormat/>
    <w:rPr>
      <w:rFonts w:ascii="Liberation Serif;Times New Roma" w:eastAsia="NSimSun" w:hAnsi="Liberation Serif;Times New Roma" w:cs="Arial"/>
      <w:b/>
      <w:bCs/>
      <w:i/>
      <w:iCs/>
      <w:color w:val="4F81BD"/>
    </w:rPr>
  </w:style>
  <w:style w:type="character" w:customStyle="1" w:styleId="Heading3Char">
    <w:name w:val="Heading 3 Char"/>
    <w:qFormat/>
    <w:rPr>
      <w:rFonts w:ascii="Liberation Serif;Times New Roma" w:eastAsia="NSimSun" w:hAnsi="Liberation Serif;Times New Roma" w:cs="Arial"/>
      <w:b/>
      <w:bCs/>
      <w:color w:val="4F81BD"/>
    </w:rPr>
  </w:style>
  <w:style w:type="character" w:customStyle="1" w:styleId="Heading2Char">
    <w:name w:val="Heading 2 Char"/>
    <w:qFormat/>
    <w:rPr>
      <w:rFonts w:ascii="Liberation Serif;Times New Roma" w:eastAsia="NSimSun" w:hAnsi="Liberation Serif;Times New Roma" w:cs="Arial"/>
      <w:b/>
      <w:bCs/>
      <w:color w:val="4F81BD"/>
      <w:sz w:val="26"/>
      <w:szCs w:val="26"/>
    </w:rPr>
  </w:style>
  <w:style w:type="character" w:customStyle="1" w:styleId="Heading1Char">
    <w:name w:val="Heading 1 Char"/>
    <w:qFormat/>
    <w:rPr>
      <w:rFonts w:ascii="Liberation Serif;Times New Roma" w:eastAsia="NSimSun" w:hAnsi="Liberation Serif;Times New Roma" w:cs="Arial"/>
      <w:b/>
      <w:bCs/>
      <w:color w:val="365F91"/>
      <w:sz w:val="28"/>
      <w:szCs w:val="28"/>
    </w:rPr>
  </w:style>
  <w:style w:type="character" w:customStyle="1" w:styleId="HeaderChar">
    <w:name w:val="Header Char"/>
    <w:basedOn w:val="Domylnaczcionkaakapitu"/>
    <w:qFormat/>
  </w:style>
  <w:style w:type="character" w:styleId="Numerstrony">
    <w:name w:val="page number"/>
    <w:qFormat/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TytuZnak">
    <w:name w:val="Tytuł Znak"/>
    <w:qFormat/>
    <w:rPr>
      <w:rFonts w:ascii="Liberation Serif;Times New Roma" w:eastAsia="NSimSun" w:hAnsi="Liberation Serif;Times New Roma" w:cs="Arial"/>
      <w:color w:val="17365D"/>
      <w:spacing w:val="5"/>
      <w:kern w:val="2"/>
      <w:sz w:val="52"/>
      <w:szCs w:val="52"/>
      <w:lang w:bidi="hi-IN"/>
    </w:rPr>
  </w:style>
  <w:style w:type="character" w:customStyle="1" w:styleId="WW8Num10z0">
    <w:name w:val="WW8Num10z0"/>
    <w:qFormat/>
    <w:rPr>
      <w:rFonts w:ascii="Arial" w:hAnsi="Arial" w:cs="Tahoma"/>
      <w:b w:val="0"/>
      <w:bCs w:val="0"/>
      <w:strike w:val="0"/>
      <w:dstrike w:val="0"/>
      <w:sz w:val="24"/>
      <w:szCs w:val="24"/>
      <w:lang w:val="pl-PL"/>
    </w:rPr>
  </w:style>
  <w:style w:type="character" w:customStyle="1" w:styleId="WW8Num13z0">
    <w:name w:val="WW8Num13z0"/>
    <w:qFormat/>
    <w:rPr>
      <w:rFonts w:ascii="Tahoma" w:hAnsi="Tahoma" w:cs="Tahoma"/>
      <w:b w:val="0"/>
      <w:bCs w:val="0"/>
      <w:sz w:val="22"/>
      <w:szCs w:val="22"/>
      <w:lang w:val="pl-PL" w:eastAsia="pl-PL"/>
    </w:rPr>
  </w:style>
  <w:style w:type="character" w:customStyle="1" w:styleId="WW8Num12z0">
    <w:name w:val="WW8Num12z0"/>
    <w:qFormat/>
    <w:rPr>
      <w:rFonts w:ascii="Tahoma" w:hAnsi="Tahoma" w:cs="Tahoma"/>
      <w:sz w:val="22"/>
      <w:szCs w:val="22"/>
      <w:lang w:val="pl-PL"/>
    </w:rPr>
  </w:style>
  <w:style w:type="character" w:customStyle="1" w:styleId="WW8Num11z0">
    <w:name w:val="WW8Num11z0"/>
    <w:qFormat/>
    <w:rPr>
      <w:rFonts w:ascii="Tahoma" w:hAnsi="Tahoma" w:cs="Tahoma"/>
      <w:b w:val="0"/>
      <w:bCs w:val="0"/>
      <w:sz w:val="22"/>
      <w:szCs w:val="22"/>
      <w:lang w:val="pl-PL" w:eastAsia="pl-PL"/>
    </w:rPr>
  </w:style>
  <w:style w:type="character" w:customStyle="1" w:styleId="WW8Num15z0">
    <w:name w:val="WW8Num15z0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WW8Num15z1">
    <w:name w:val="WW8Num15z1"/>
    <w:qFormat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14z1">
    <w:name w:val="WW8Num14z1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Normalny"/>
    <w:qFormat/>
    <w:pPr>
      <w:pBdr>
        <w:bottom w:val="single" w:sz="8" w:space="4" w:color="808080"/>
      </w:pBdr>
      <w:spacing w:after="300"/>
    </w:pPr>
    <w:rPr>
      <w:rFonts w:ascii="Liberation Serif;Times New Roma" w:eastAsia="NSimSun" w:hAnsi="Liberation Serif;Times New Roma" w:cs="Arial"/>
      <w:color w:val="17365D"/>
      <w:spacing w:val="5"/>
      <w:sz w:val="52"/>
      <w:szCs w:val="52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Zawartotabeliuser">
    <w:name w:val="Zawartość tabeli (user)"/>
    <w:basedOn w:val="Normalny"/>
    <w:qFormat/>
    <w:pPr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qFormat/>
    <w:rPr>
      <w:rFonts w:eastAsia="Times New Roman" w:cs="Times New Roman"/>
      <w:color w:val="000000"/>
    </w:rPr>
  </w:style>
  <w:style w:type="paragraph" w:customStyle="1" w:styleId="BoldStyle">
    <w:name w:val="BoldStyle"/>
    <w:qFormat/>
    <w:pPr>
      <w:suppressAutoHyphens/>
      <w:spacing w:line="100" w:lineRule="atLeast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zh-CN" w:bidi="hi-IN"/>
    </w:rPr>
  </w:style>
  <w:style w:type="paragraph" w:customStyle="1" w:styleId="NormalSpacingStyle">
    <w:name w:val="NormalSpacingStyle"/>
    <w:qFormat/>
    <w:pPr>
      <w:suppressAutoHyphens/>
      <w:spacing w:after="20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NormalStyle">
    <w:name w:val="NormalStyle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customStyle="1" w:styleId="TitleCenterStyle">
    <w:name w:val="TitleCenterStyle"/>
    <w:qFormat/>
    <w:pPr>
      <w:suppressAutoHyphens/>
      <w:spacing w:after="200" w:line="100" w:lineRule="atLeast"/>
      <w:jc w:val="center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zh-CN" w:bidi="hi-IN"/>
    </w:rPr>
  </w:style>
  <w:style w:type="paragraph" w:customStyle="1" w:styleId="TitleStyle">
    <w:name w:val="TitleStyle"/>
    <w:qFormat/>
    <w:pPr>
      <w:suppressAutoHyphens/>
      <w:spacing w:after="200" w:line="100" w:lineRule="atLeast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zh-CN" w:bidi="hi-IN"/>
    </w:rPr>
  </w:style>
  <w:style w:type="paragraph" w:customStyle="1" w:styleId="HeaderStyle">
    <w:name w:val="HeaderStyle"/>
    <w:qFormat/>
    <w:pPr>
      <w:suppressAutoHyphens/>
      <w:spacing w:after="200" w:line="100" w:lineRule="atLeast"/>
      <w:jc w:val="center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zh-CN" w:bidi="hi-IN"/>
    </w:rPr>
  </w:style>
  <w:style w:type="paragraph" w:customStyle="1" w:styleId="caption11">
    <w:name w:val="caption11"/>
    <w:basedOn w:val="Normalny"/>
    <w:next w:val="Normalny"/>
    <w:qFormat/>
    <w:pPr>
      <w:spacing w:line="100" w:lineRule="atLeast"/>
    </w:pPr>
    <w:rPr>
      <w:b/>
      <w:bCs/>
      <w:color w:val="4F81BD"/>
      <w:sz w:val="18"/>
      <w:szCs w:val="18"/>
    </w:rPr>
  </w:style>
  <w:style w:type="paragraph" w:styleId="Podtytu">
    <w:name w:val="Subtitle"/>
    <w:basedOn w:val="Nagwek10"/>
    <w:next w:val="Tekstpodstawowy"/>
    <w:uiPriority w:val="11"/>
    <w:qFormat/>
    <w:pPr>
      <w:jc w:val="center"/>
    </w:pPr>
    <w:rPr>
      <w:i/>
      <w:iCs/>
    </w:rPr>
  </w:style>
  <w:style w:type="paragraph" w:styleId="Wcicienormalne">
    <w:name w:val="Normal Indent"/>
    <w:basedOn w:val="Normalny"/>
    <w:qFormat/>
    <w:pPr>
      <w:ind w:left="720"/>
    </w:pPr>
  </w:style>
  <w:style w:type="paragraph" w:customStyle="1" w:styleId="Akapitzlist1">
    <w:name w:val="Akapit z listą1"/>
    <w:basedOn w:val="Normalny"/>
    <w:qFormat/>
    <w:pPr>
      <w:widowControl/>
      <w:ind w:left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SimSun;宋体" w:hAnsi="Times New Roma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bidi="ar-SA"/>
    </w:rPr>
  </w:style>
  <w:style w:type="paragraph" w:styleId="Bezodstpw">
    <w:name w:val="No Spacing"/>
    <w:qFormat/>
    <w:pPr>
      <w:suppressAutoHyphens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roPublico1">
    <w:name w:val="ProPublico1"/>
    <w:basedOn w:val="Normalny"/>
    <w:qFormat/>
    <w:pPr>
      <w:widowControl/>
      <w:suppressAutoHyphens w:val="0"/>
      <w:spacing w:line="360" w:lineRule="auto"/>
      <w:jc w:val="both"/>
      <w:outlineLvl w:val="0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paragraph" w:customStyle="1" w:styleId="Tekstpodstawowy22">
    <w:name w:val="Tekst podstawowy 22"/>
    <w:basedOn w:val="Normalny"/>
    <w:qFormat/>
    <w:pPr>
      <w:suppressAutoHyphens w:val="0"/>
      <w:jc w:val="both"/>
    </w:pPr>
    <w:rPr>
      <w:rFonts w:ascii="Arial" w:eastAsia="Times New Roman" w:hAnsi="Arial" w:cs="Times New Roman"/>
      <w:kern w:val="0"/>
      <w:sz w:val="22"/>
      <w:szCs w:val="20"/>
      <w:lang w:bidi="ar-SA"/>
    </w:rPr>
  </w:style>
  <w:style w:type="paragraph" w:customStyle="1" w:styleId="Zawartoramkiuser">
    <w:name w:val="Zawartość ramki (user)"/>
    <w:basedOn w:val="Normalny"/>
    <w:qFormat/>
  </w:style>
  <w:style w:type="paragraph" w:customStyle="1" w:styleId="Zawartoramki">
    <w:name w:val="Zawartość ramki"/>
    <w:basedOn w:val="Normalny"/>
    <w:qFormat/>
  </w:style>
  <w:style w:type="paragraph" w:customStyle="1" w:styleId="Tekstpodstawowywcity31">
    <w:name w:val="Tekst podstawowy wcięty 31"/>
    <w:basedOn w:val="Normalny"/>
    <w:qFormat/>
    <w:pPr>
      <w:ind w:left="426" w:hanging="426"/>
      <w:jc w:val="both"/>
    </w:pPr>
  </w:style>
  <w:style w:type="paragraph" w:customStyle="1" w:styleId="Tekstpodstawowywcity21">
    <w:name w:val="Tekst podstawowy wcięty 21"/>
    <w:basedOn w:val="Normalny"/>
    <w:qFormat/>
    <w:pPr>
      <w:ind w:left="360"/>
      <w:jc w:val="both"/>
    </w:pPr>
    <w:rPr>
      <w:b/>
    </w:rPr>
  </w:style>
  <w:style w:type="paragraph" w:customStyle="1" w:styleId="Standard1">
    <w:name w:val="Standard1"/>
    <w:qFormat/>
    <w:pPr>
      <w:suppressAutoHyphens/>
      <w:textAlignment w:val="baseline"/>
    </w:pPr>
    <w:rPr>
      <w:rFonts w:ascii="Arial" w:eastAsia="Lucida Sans Unicode" w:hAnsi="Arial" w:cs="Arial"/>
      <w:kern w:val="2"/>
      <w:sz w:val="24"/>
      <w:szCs w:val="24"/>
      <w:lang w:eastAsia="zh-C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0">
    <w:name w:val="WW8Num10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numbering" w:customStyle="1" w:styleId="WW8Num12">
    <w:name w:val="WW8Num12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15">
    <w:name w:val="WW8Num15"/>
    <w:qFormat/>
  </w:style>
  <w:style w:type="numbering" w:customStyle="1" w:styleId="WW8Num14">
    <w:name w:val="WW8Num14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0D666-1B28-4E63-9474-ADDC676B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3598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Prądzińska</dc:creator>
  <dc:description/>
  <cp:lastModifiedBy>Jarosław Mikołajski</cp:lastModifiedBy>
  <cp:revision>3</cp:revision>
  <cp:lastPrinted>2025-04-10T07:29:00Z</cp:lastPrinted>
  <dcterms:created xsi:type="dcterms:W3CDTF">2025-04-01T07:14:00Z</dcterms:created>
  <dcterms:modified xsi:type="dcterms:W3CDTF">2025-04-10T07:37:00Z</dcterms:modified>
  <dc:language>pl-PL</dc:language>
</cp:coreProperties>
</file>