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0A9B5E" w14:textId="77777777" w:rsidR="00FB5B44" w:rsidRPr="00FB5B44" w:rsidRDefault="00FB5B44" w:rsidP="00FB5B44">
      <w:pPr>
        <w:spacing w:line="276" w:lineRule="auto"/>
        <w:jc w:val="center"/>
        <w:rPr>
          <w:b/>
          <w:bCs/>
        </w:rPr>
      </w:pPr>
    </w:p>
    <w:p w14:paraId="6B50711D" w14:textId="4F794419" w:rsidR="00FB5B44" w:rsidRPr="00FB5B44" w:rsidRDefault="00FB5B44" w:rsidP="00FB5B44">
      <w:pPr>
        <w:pStyle w:val="Nagwek1"/>
        <w:jc w:val="center"/>
        <w:rPr>
          <w:rFonts w:ascii="Times New Roman" w:hAnsi="Times New Roman" w:cs="Times New Roman"/>
          <w:b/>
          <w:bCs/>
          <w:color w:val="auto"/>
        </w:rPr>
      </w:pPr>
      <w:r w:rsidRPr="00FB5B44">
        <w:rPr>
          <w:rFonts w:ascii="Times New Roman" w:hAnsi="Times New Roman" w:cs="Times New Roman"/>
          <w:b/>
          <w:bCs/>
          <w:color w:val="auto"/>
        </w:rPr>
        <w:t xml:space="preserve">Część analogowa </w:t>
      </w:r>
      <w:r w:rsidR="00192958">
        <w:rPr>
          <w:rFonts w:ascii="Times New Roman" w:hAnsi="Times New Roman" w:cs="Times New Roman"/>
          <w:b/>
          <w:bCs/>
          <w:color w:val="auto"/>
        </w:rPr>
        <w:t>IX</w:t>
      </w:r>
    </w:p>
    <w:p w14:paraId="081067C4" w14:textId="530C424D" w:rsidR="00FB5B44" w:rsidRPr="00FB5B44" w:rsidRDefault="00FB5B44" w:rsidP="00FB5B44">
      <w:pPr>
        <w:pStyle w:val="Nagwek1"/>
        <w:jc w:val="center"/>
        <w:rPr>
          <w:rFonts w:ascii="Times New Roman" w:hAnsi="Times New Roman" w:cs="Times New Roman"/>
          <w:b/>
          <w:bCs/>
          <w:color w:val="auto"/>
        </w:rPr>
      </w:pPr>
      <w:r w:rsidRPr="00FB5B44">
        <w:rPr>
          <w:rFonts w:ascii="Times New Roman" w:hAnsi="Times New Roman" w:cs="Times New Roman"/>
          <w:b/>
          <w:bCs/>
          <w:color w:val="auto"/>
        </w:rPr>
        <w:t>OPIS PRZEDMIOTU ZAMÓWIENIA</w:t>
      </w:r>
    </w:p>
    <w:p w14:paraId="786971FD" w14:textId="77777777" w:rsidR="00FB5B44" w:rsidRPr="00FB5B44" w:rsidRDefault="00FB5B44" w:rsidP="00FB5B44">
      <w:pPr>
        <w:spacing w:line="276" w:lineRule="auto"/>
        <w:jc w:val="center"/>
        <w:rPr>
          <w:b/>
          <w:bCs/>
          <w:color w:val="000000"/>
        </w:rPr>
      </w:pPr>
    </w:p>
    <w:p w14:paraId="5C06913B" w14:textId="5A690DD8" w:rsidR="00FB5B44" w:rsidRPr="00FB5B44" w:rsidRDefault="00FB5B44" w:rsidP="007239DE">
      <w:pPr>
        <w:pStyle w:val="Nagwek2"/>
        <w:spacing w:line="360" w:lineRule="auto"/>
        <w:rPr>
          <w:rFonts w:ascii="Times New Roman" w:hAnsi="Times New Roman" w:cs="Times New Roman"/>
          <w:b/>
          <w:bCs/>
          <w:u w:val="single"/>
        </w:rPr>
      </w:pPr>
      <w:r w:rsidRPr="00FB5B44">
        <w:rPr>
          <w:rFonts w:ascii="Times New Roman" w:hAnsi="Times New Roman" w:cs="Times New Roman"/>
          <w:b/>
          <w:bCs/>
          <w:u w:val="single"/>
        </w:rPr>
        <w:t>Informacje ogólne.</w:t>
      </w:r>
    </w:p>
    <w:p w14:paraId="0B44F582" w14:textId="2F94E8EA" w:rsidR="00FB5B44" w:rsidRPr="00FB5B44" w:rsidRDefault="00FB5B44" w:rsidP="00FB5B44">
      <w:pPr>
        <w:spacing w:line="360" w:lineRule="auto"/>
        <w:ind w:firstLine="708"/>
        <w:jc w:val="both"/>
      </w:pPr>
      <w:r w:rsidRPr="00FB5B44">
        <w:t>Przedmiotem zamówienia jest zapewnienie infrastruktury do podłączenia jednostek Policji woj. Dolnośląskiego oraz świadczenie przez operatora telekomunikacyjnego dla KWP we Wrocławiu, usługi dzierżawy analogowych łączy transmisji danych.</w:t>
      </w:r>
    </w:p>
    <w:p w14:paraId="76476FEA" w14:textId="77777777" w:rsidR="003E7BEA" w:rsidRDefault="003E7BEA" w:rsidP="00FB5B44">
      <w:pPr>
        <w:pStyle w:val="Tytu"/>
        <w:spacing w:line="276" w:lineRule="auto"/>
        <w:jc w:val="left"/>
        <w:rPr>
          <w:sz w:val="24"/>
        </w:rPr>
      </w:pPr>
    </w:p>
    <w:p w14:paraId="49DB7B6B" w14:textId="02F46EB3" w:rsidR="00FB5B44" w:rsidRPr="00FB5B44" w:rsidRDefault="00FB5B44" w:rsidP="00FB5B44">
      <w:pPr>
        <w:pStyle w:val="Tytu"/>
        <w:spacing w:line="276" w:lineRule="auto"/>
        <w:jc w:val="left"/>
        <w:rPr>
          <w:sz w:val="24"/>
        </w:rPr>
      </w:pPr>
      <w:r w:rsidRPr="00FB5B44">
        <w:rPr>
          <w:sz w:val="24"/>
        </w:rPr>
        <w:t>Tabela nr 1.</w:t>
      </w:r>
    </w:p>
    <w:p w14:paraId="041A9D8E" w14:textId="77777777" w:rsidR="00FB5B44" w:rsidRPr="00FB5B44" w:rsidRDefault="00FB5B44" w:rsidP="00FB5B44">
      <w:pPr>
        <w:pStyle w:val="Tytu"/>
        <w:spacing w:line="276" w:lineRule="auto"/>
        <w:jc w:val="left"/>
        <w:rPr>
          <w:sz w:val="24"/>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314"/>
        <w:gridCol w:w="1796"/>
        <w:gridCol w:w="1843"/>
        <w:gridCol w:w="1701"/>
        <w:gridCol w:w="1843"/>
      </w:tblGrid>
      <w:tr w:rsidR="007239DE" w:rsidRPr="00FB5B44" w14:paraId="1BC7D92E" w14:textId="780ADAD3" w:rsidTr="007239DE">
        <w:trPr>
          <w:trHeight w:val="592"/>
          <w:jc w:val="center"/>
        </w:trPr>
        <w:tc>
          <w:tcPr>
            <w:tcW w:w="1555" w:type="dxa"/>
            <w:vMerge w:val="restart"/>
            <w:shd w:val="clear" w:color="auto" w:fill="auto"/>
            <w:vAlign w:val="center"/>
          </w:tcPr>
          <w:p w14:paraId="0C1AF05C" w14:textId="77777777" w:rsidR="007239DE" w:rsidRPr="009C747D" w:rsidRDefault="007239DE" w:rsidP="009C747D">
            <w:pPr>
              <w:pStyle w:val="Tytu"/>
              <w:rPr>
                <w:sz w:val="24"/>
              </w:rPr>
            </w:pPr>
            <w:r w:rsidRPr="009C747D">
              <w:rPr>
                <w:sz w:val="24"/>
              </w:rPr>
              <w:t>Numer</w:t>
            </w:r>
          </w:p>
          <w:p w14:paraId="0083AD80" w14:textId="77777777" w:rsidR="007239DE" w:rsidRPr="009C747D" w:rsidRDefault="007239DE" w:rsidP="009C747D">
            <w:pPr>
              <w:pStyle w:val="Tytu"/>
              <w:rPr>
                <w:sz w:val="24"/>
              </w:rPr>
            </w:pPr>
            <w:r w:rsidRPr="009C747D">
              <w:rPr>
                <w:sz w:val="24"/>
              </w:rPr>
              <w:t>zadania</w:t>
            </w:r>
          </w:p>
        </w:tc>
        <w:tc>
          <w:tcPr>
            <w:tcW w:w="4110" w:type="dxa"/>
            <w:gridSpan w:val="2"/>
            <w:shd w:val="clear" w:color="auto" w:fill="auto"/>
            <w:vAlign w:val="center"/>
          </w:tcPr>
          <w:p w14:paraId="56A3C431" w14:textId="77777777" w:rsidR="007239DE" w:rsidRPr="009C747D" w:rsidRDefault="007239DE" w:rsidP="009C747D">
            <w:pPr>
              <w:pStyle w:val="Tytu"/>
              <w:rPr>
                <w:sz w:val="24"/>
              </w:rPr>
            </w:pPr>
            <w:r w:rsidRPr="009C747D">
              <w:rPr>
                <w:bCs w:val="0"/>
                <w:sz w:val="24"/>
              </w:rPr>
              <w:t>Relacja</w:t>
            </w:r>
          </w:p>
        </w:tc>
        <w:tc>
          <w:tcPr>
            <w:tcW w:w="1843" w:type="dxa"/>
            <w:vMerge w:val="restart"/>
            <w:shd w:val="clear" w:color="auto" w:fill="auto"/>
            <w:vAlign w:val="center"/>
          </w:tcPr>
          <w:p w14:paraId="63AA6A96" w14:textId="6F8F7ADB" w:rsidR="007239DE" w:rsidRPr="009C747D" w:rsidRDefault="007239DE" w:rsidP="009C747D">
            <w:pPr>
              <w:jc w:val="center"/>
              <w:rPr>
                <w:b/>
                <w:bCs/>
              </w:rPr>
            </w:pPr>
            <w:r w:rsidRPr="009C747D">
              <w:rPr>
                <w:b/>
              </w:rPr>
              <w:t>Rodzaj łącza, przepływność</w:t>
            </w:r>
          </w:p>
        </w:tc>
        <w:tc>
          <w:tcPr>
            <w:tcW w:w="1701" w:type="dxa"/>
            <w:vMerge w:val="restart"/>
          </w:tcPr>
          <w:p w14:paraId="59A32108" w14:textId="77777777" w:rsidR="002E778A" w:rsidRDefault="007239DE" w:rsidP="002E778A">
            <w:pPr>
              <w:spacing w:before="240"/>
              <w:jc w:val="center"/>
              <w:rPr>
                <w:b/>
              </w:rPr>
            </w:pPr>
            <w:r>
              <w:rPr>
                <w:b/>
              </w:rPr>
              <w:t xml:space="preserve">Wartość netto dla 36 m-cy   </w:t>
            </w:r>
          </w:p>
          <w:p w14:paraId="3F9050D5" w14:textId="6BDB5D9C" w:rsidR="007239DE" w:rsidRDefault="007239DE" w:rsidP="002E778A">
            <w:pPr>
              <w:spacing w:before="240"/>
              <w:jc w:val="center"/>
              <w:rPr>
                <w:b/>
              </w:rPr>
            </w:pPr>
            <w:r>
              <w:rPr>
                <w:b/>
              </w:rPr>
              <w:t>( zł)</w:t>
            </w:r>
          </w:p>
        </w:tc>
        <w:tc>
          <w:tcPr>
            <w:tcW w:w="1843" w:type="dxa"/>
            <w:vMerge w:val="restart"/>
            <w:vAlign w:val="center"/>
          </w:tcPr>
          <w:p w14:paraId="5379DBA5" w14:textId="31F282CA" w:rsidR="007239DE" w:rsidRPr="009C747D" w:rsidRDefault="007239DE" w:rsidP="009C747D">
            <w:pPr>
              <w:jc w:val="center"/>
              <w:rPr>
                <w:b/>
              </w:rPr>
            </w:pPr>
            <w:r>
              <w:rPr>
                <w:b/>
              </w:rPr>
              <w:t>Wartość całkowita brutto</w:t>
            </w:r>
          </w:p>
        </w:tc>
      </w:tr>
      <w:tr w:rsidR="007239DE" w:rsidRPr="00FB5B44" w14:paraId="58B7BC24" w14:textId="04EC20B0" w:rsidTr="007239DE">
        <w:trPr>
          <w:trHeight w:val="848"/>
          <w:jc w:val="center"/>
        </w:trPr>
        <w:tc>
          <w:tcPr>
            <w:tcW w:w="1555" w:type="dxa"/>
            <w:vMerge/>
            <w:shd w:val="clear" w:color="auto" w:fill="auto"/>
            <w:vAlign w:val="center"/>
          </w:tcPr>
          <w:p w14:paraId="5CE387A3" w14:textId="77777777" w:rsidR="007239DE" w:rsidRPr="00FB5B44" w:rsidRDefault="007239DE" w:rsidP="009C747D">
            <w:pPr>
              <w:pStyle w:val="Tytu"/>
              <w:rPr>
                <w:sz w:val="20"/>
                <w:szCs w:val="20"/>
              </w:rPr>
            </w:pPr>
          </w:p>
        </w:tc>
        <w:tc>
          <w:tcPr>
            <w:tcW w:w="2314" w:type="dxa"/>
            <w:shd w:val="clear" w:color="auto" w:fill="auto"/>
            <w:vAlign w:val="center"/>
          </w:tcPr>
          <w:p w14:paraId="1FD74E76" w14:textId="77777777" w:rsidR="007239DE" w:rsidRPr="00FB5B44" w:rsidRDefault="007239DE" w:rsidP="009C747D">
            <w:pPr>
              <w:pStyle w:val="Tytu"/>
              <w:rPr>
                <w:bCs w:val="0"/>
                <w:sz w:val="20"/>
                <w:szCs w:val="20"/>
              </w:rPr>
            </w:pPr>
            <w:r w:rsidRPr="00FB5B44">
              <w:rPr>
                <w:bCs w:val="0"/>
                <w:sz w:val="20"/>
                <w:szCs w:val="20"/>
              </w:rPr>
              <w:t>Strona A</w:t>
            </w:r>
          </w:p>
        </w:tc>
        <w:tc>
          <w:tcPr>
            <w:tcW w:w="1796" w:type="dxa"/>
            <w:shd w:val="clear" w:color="auto" w:fill="auto"/>
            <w:vAlign w:val="center"/>
          </w:tcPr>
          <w:p w14:paraId="21E9BAF8" w14:textId="77777777" w:rsidR="007239DE" w:rsidRPr="00FB5B44" w:rsidRDefault="007239DE" w:rsidP="009C747D">
            <w:pPr>
              <w:pStyle w:val="Tytu"/>
              <w:rPr>
                <w:sz w:val="20"/>
                <w:szCs w:val="20"/>
              </w:rPr>
            </w:pPr>
            <w:r w:rsidRPr="00FB5B44">
              <w:rPr>
                <w:bCs w:val="0"/>
                <w:sz w:val="20"/>
                <w:szCs w:val="20"/>
              </w:rPr>
              <w:t>Strona B</w:t>
            </w:r>
          </w:p>
        </w:tc>
        <w:tc>
          <w:tcPr>
            <w:tcW w:w="1843" w:type="dxa"/>
            <w:vMerge/>
            <w:shd w:val="clear" w:color="auto" w:fill="auto"/>
            <w:vAlign w:val="center"/>
          </w:tcPr>
          <w:p w14:paraId="1EB6751E" w14:textId="77777777" w:rsidR="007239DE" w:rsidRPr="00FB5B44" w:rsidRDefault="007239DE" w:rsidP="009C747D">
            <w:pPr>
              <w:pStyle w:val="Tytu"/>
              <w:rPr>
                <w:sz w:val="20"/>
                <w:szCs w:val="20"/>
              </w:rPr>
            </w:pPr>
          </w:p>
        </w:tc>
        <w:tc>
          <w:tcPr>
            <w:tcW w:w="1701" w:type="dxa"/>
            <w:vMerge/>
          </w:tcPr>
          <w:p w14:paraId="3FC25BE0" w14:textId="77777777" w:rsidR="007239DE" w:rsidRPr="00FB5B44" w:rsidRDefault="007239DE" w:rsidP="009C747D">
            <w:pPr>
              <w:pStyle w:val="Tytu"/>
              <w:rPr>
                <w:sz w:val="20"/>
                <w:szCs w:val="20"/>
              </w:rPr>
            </w:pPr>
          </w:p>
        </w:tc>
        <w:tc>
          <w:tcPr>
            <w:tcW w:w="1843" w:type="dxa"/>
            <w:vMerge/>
            <w:vAlign w:val="center"/>
          </w:tcPr>
          <w:p w14:paraId="71AEA7F2" w14:textId="1E79BFDE" w:rsidR="007239DE" w:rsidRPr="00FB5B44" w:rsidRDefault="007239DE" w:rsidP="009C747D">
            <w:pPr>
              <w:pStyle w:val="Tytu"/>
              <w:rPr>
                <w:sz w:val="20"/>
                <w:szCs w:val="20"/>
              </w:rPr>
            </w:pPr>
          </w:p>
        </w:tc>
      </w:tr>
      <w:tr w:rsidR="003E7BEA" w:rsidRPr="00FB5B44" w14:paraId="2D8141B0" w14:textId="021439A9" w:rsidTr="007239DE">
        <w:trPr>
          <w:trHeight w:val="1585"/>
          <w:jc w:val="center"/>
        </w:trPr>
        <w:tc>
          <w:tcPr>
            <w:tcW w:w="1555" w:type="dxa"/>
            <w:shd w:val="clear" w:color="auto" w:fill="auto"/>
            <w:vAlign w:val="center"/>
          </w:tcPr>
          <w:p w14:paraId="6A4CEE6D" w14:textId="3A2FE547" w:rsidR="003E7BEA" w:rsidRPr="00FB5B44" w:rsidRDefault="003E7BEA" w:rsidP="000040E5">
            <w:pPr>
              <w:pStyle w:val="Tytu"/>
              <w:rPr>
                <w:sz w:val="20"/>
                <w:szCs w:val="20"/>
              </w:rPr>
            </w:pPr>
            <w:r>
              <w:rPr>
                <w:sz w:val="20"/>
                <w:szCs w:val="20"/>
              </w:rPr>
              <w:t>1</w:t>
            </w:r>
          </w:p>
        </w:tc>
        <w:tc>
          <w:tcPr>
            <w:tcW w:w="2314" w:type="dxa"/>
            <w:shd w:val="clear" w:color="auto" w:fill="auto"/>
            <w:vAlign w:val="center"/>
          </w:tcPr>
          <w:p w14:paraId="2463AE0E" w14:textId="77777777" w:rsidR="003E7BEA" w:rsidRPr="00FB5B44" w:rsidRDefault="003E7BEA" w:rsidP="000040E5">
            <w:pPr>
              <w:snapToGrid w:val="0"/>
              <w:jc w:val="center"/>
              <w:rPr>
                <w:color w:val="000000"/>
                <w:sz w:val="20"/>
                <w:szCs w:val="20"/>
              </w:rPr>
            </w:pPr>
            <w:r w:rsidRPr="00FB5B44">
              <w:rPr>
                <w:color w:val="000000"/>
                <w:sz w:val="20"/>
                <w:szCs w:val="20"/>
              </w:rPr>
              <w:t xml:space="preserve">KPP Głogów </w:t>
            </w:r>
            <w:r w:rsidRPr="00FB5B44">
              <w:rPr>
                <w:color w:val="000000"/>
                <w:sz w:val="20"/>
                <w:szCs w:val="20"/>
              </w:rPr>
              <w:br/>
              <w:t>ul. Obrońców Pokoju 17</w:t>
            </w:r>
            <w:r w:rsidRPr="00FB5B44">
              <w:rPr>
                <w:color w:val="000000"/>
                <w:sz w:val="20"/>
                <w:szCs w:val="20"/>
              </w:rPr>
              <w:br/>
              <w:t>67-200 Głogów</w:t>
            </w:r>
          </w:p>
        </w:tc>
        <w:tc>
          <w:tcPr>
            <w:tcW w:w="1796" w:type="dxa"/>
            <w:shd w:val="clear" w:color="auto" w:fill="auto"/>
            <w:vAlign w:val="center"/>
          </w:tcPr>
          <w:p w14:paraId="1F191C7D" w14:textId="77777777" w:rsidR="003E7BEA" w:rsidRPr="00FB5B44" w:rsidRDefault="003E7BEA" w:rsidP="000040E5">
            <w:pPr>
              <w:snapToGrid w:val="0"/>
              <w:jc w:val="center"/>
              <w:rPr>
                <w:sz w:val="20"/>
                <w:szCs w:val="20"/>
              </w:rPr>
            </w:pPr>
            <w:r w:rsidRPr="00FB5B44">
              <w:rPr>
                <w:sz w:val="20"/>
                <w:szCs w:val="20"/>
              </w:rPr>
              <w:t>Głogów *</w:t>
            </w:r>
            <w:r w:rsidRPr="00FB5B44">
              <w:rPr>
                <w:sz w:val="20"/>
                <w:szCs w:val="20"/>
              </w:rPr>
              <w:br/>
              <w:t>ul. Oriona 5</w:t>
            </w:r>
            <w:r w:rsidRPr="00FB5B44">
              <w:rPr>
                <w:sz w:val="20"/>
                <w:szCs w:val="20"/>
              </w:rPr>
              <w:br/>
              <w:t>67-200</w:t>
            </w:r>
          </w:p>
          <w:p w14:paraId="2166B33D" w14:textId="77777777" w:rsidR="003E7BEA" w:rsidRPr="00FB5B44" w:rsidRDefault="003E7BEA" w:rsidP="000040E5">
            <w:pPr>
              <w:snapToGrid w:val="0"/>
              <w:jc w:val="center"/>
              <w:rPr>
                <w:sz w:val="20"/>
                <w:szCs w:val="20"/>
              </w:rPr>
            </w:pPr>
          </w:p>
          <w:p w14:paraId="7BF6FE1A" w14:textId="77777777" w:rsidR="003E7BEA" w:rsidRPr="00FB5B44" w:rsidRDefault="003E7BEA" w:rsidP="000040E5">
            <w:pPr>
              <w:snapToGrid w:val="0"/>
              <w:jc w:val="center"/>
              <w:rPr>
                <w:sz w:val="20"/>
                <w:szCs w:val="20"/>
              </w:rPr>
            </w:pPr>
            <w:r w:rsidRPr="00FB5B44">
              <w:rPr>
                <w:sz w:val="20"/>
                <w:szCs w:val="20"/>
              </w:rPr>
              <w:t>* patrz wymagania techniczne i jakościowe pkt. 6</w:t>
            </w:r>
          </w:p>
        </w:tc>
        <w:tc>
          <w:tcPr>
            <w:tcW w:w="1843" w:type="dxa"/>
            <w:shd w:val="clear" w:color="auto" w:fill="auto"/>
            <w:vAlign w:val="center"/>
          </w:tcPr>
          <w:p w14:paraId="4D7F2E92" w14:textId="77777777" w:rsidR="003E7BEA" w:rsidRPr="00FB5B44" w:rsidRDefault="003E7BEA" w:rsidP="000040E5">
            <w:pPr>
              <w:snapToGrid w:val="0"/>
              <w:jc w:val="center"/>
              <w:rPr>
                <w:color w:val="000000"/>
                <w:sz w:val="20"/>
                <w:szCs w:val="20"/>
              </w:rPr>
            </w:pPr>
            <w:r w:rsidRPr="00FB5B44">
              <w:rPr>
                <w:color w:val="000000"/>
                <w:sz w:val="20"/>
                <w:szCs w:val="20"/>
              </w:rPr>
              <w:t>analogowe</w:t>
            </w:r>
          </w:p>
          <w:p w14:paraId="232A6C16" w14:textId="77777777" w:rsidR="003E7BEA" w:rsidRPr="00FB5B44" w:rsidRDefault="003E7BEA" w:rsidP="000040E5">
            <w:pPr>
              <w:jc w:val="center"/>
              <w:rPr>
                <w:color w:val="000000"/>
                <w:sz w:val="20"/>
                <w:szCs w:val="20"/>
              </w:rPr>
            </w:pPr>
            <w:r w:rsidRPr="00FB5B44">
              <w:rPr>
                <w:color w:val="000000"/>
                <w:sz w:val="20"/>
                <w:szCs w:val="20"/>
              </w:rPr>
              <w:t>2x 1T</w:t>
            </w:r>
          </w:p>
        </w:tc>
        <w:tc>
          <w:tcPr>
            <w:tcW w:w="1701" w:type="dxa"/>
          </w:tcPr>
          <w:p w14:paraId="4E54DBE8" w14:textId="121206DE" w:rsidR="003E7BEA" w:rsidRDefault="003E7BEA" w:rsidP="002E778A">
            <w:pPr>
              <w:snapToGrid w:val="0"/>
              <w:spacing w:before="240" w:after="240"/>
              <w:jc w:val="center"/>
              <w:rPr>
                <w:color w:val="000000"/>
                <w:sz w:val="20"/>
                <w:szCs w:val="20"/>
              </w:rPr>
            </w:pPr>
            <w:bookmarkStart w:id="0" w:name="_GoBack"/>
            <w:bookmarkEnd w:id="0"/>
          </w:p>
        </w:tc>
        <w:tc>
          <w:tcPr>
            <w:tcW w:w="1843" w:type="dxa"/>
            <w:vAlign w:val="center"/>
          </w:tcPr>
          <w:p w14:paraId="5CF4AD55" w14:textId="317935CF" w:rsidR="003E7BEA" w:rsidRPr="00FB5B44" w:rsidRDefault="003E7BEA" w:rsidP="000040E5">
            <w:pPr>
              <w:snapToGrid w:val="0"/>
              <w:jc w:val="center"/>
              <w:rPr>
                <w:color w:val="000000"/>
                <w:sz w:val="20"/>
                <w:szCs w:val="20"/>
              </w:rPr>
            </w:pPr>
          </w:p>
        </w:tc>
      </w:tr>
      <w:tr w:rsidR="003E7BEA" w:rsidRPr="00FB5B44" w14:paraId="791C0DAC" w14:textId="31AA84C7" w:rsidTr="007239DE">
        <w:trPr>
          <w:trHeight w:val="666"/>
          <w:jc w:val="center"/>
        </w:trPr>
        <w:tc>
          <w:tcPr>
            <w:tcW w:w="1555" w:type="dxa"/>
            <w:shd w:val="clear" w:color="auto" w:fill="auto"/>
            <w:vAlign w:val="center"/>
          </w:tcPr>
          <w:p w14:paraId="52C1D188" w14:textId="562F2B4A" w:rsidR="003E7BEA" w:rsidRPr="00FB5B44" w:rsidRDefault="003E7BEA" w:rsidP="000040E5">
            <w:pPr>
              <w:pStyle w:val="Tytu"/>
              <w:rPr>
                <w:sz w:val="20"/>
                <w:szCs w:val="20"/>
              </w:rPr>
            </w:pPr>
            <w:r>
              <w:rPr>
                <w:sz w:val="20"/>
                <w:szCs w:val="20"/>
              </w:rPr>
              <w:t>2</w:t>
            </w:r>
          </w:p>
        </w:tc>
        <w:tc>
          <w:tcPr>
            <w:tcW w:w="2314" w:type="dxa"/>
            <w:shd w:val="clear" w:color="auto" w:fill="auto"/>
            <w:vAlign w:val="center"/>
          </w:tcPr>
          <w:p w14:paraId="70902B04" w14:textId="77777777" w:rsidR="003E7BEA" w:rsidRPr="00FB5B44" w:rsidRDefault="003E7BEA" w:rsidP="000040E5">
            <w:pPr>
              <w:snapToGrid w:val="0"/>
              <w:jc w:val="center"/>
              <w:rPr>
                <w:color w:val="000000"/>
                <w:sz w:val="20"/>
                <w:szCs w:val="20"/>
              </w:rPr>
            </w:pPr>
            <w:r w:rsidRPr="00FB5B44">
              <w:rPr>
                <w:color w:val="000000"/>
                <w:sz w:val="20"/>
                <w:szCs w:val="20"/>
              </w:rPr>
              <w:t xml:space="preserve">KMP Legnica </w:t>
            </w:r>
            <w:r w:rsidRPr="00FB5B44">
              <w:rPr>
                <w:color w:val="000000"/>
                <w:sz w:val="20"/>
                <w:szCs w:val="20"/>
              </w:rPr>
              <w:br/>
              <w:t xml:space="preserve">ul. Asnyka 3-5 </w:t>
            </w:r>
            <w:r w:rsidRPr="00FB5B44">
              <w:rPr>
                <w:color w:val="000000"/>
                <w:sz w:val="20"/>
                <w:szCs w:val="20"/>
              </w:rPr>
              <w:br/>
              <w:t>59-220 Legnica</w:t>
            </w:r>
          </w:p>
        </w:tc>
        <w:tc>
          <w:tcPr>
            <w:tcW w:w="1796" w:type="dxa"/>
            <w:shd w:val="clear" w:color="auto" w:fill="auto"/>
            <w:vAlign w:val="center"/>
          </w:tcPr>
          <w:p w14:paraId="65CF25C6" w14:textId="77777777" w:rsidR="003E7BEA" w:rsidRPr="00FB5B44" w:rsidRDefault="003E7BEA" w:rsidP="000040E5">
            <w:pPr>
              <w:snapToGrid w:val="0"/>
              <w:jc w:val="center"/>
              <w:rPr>
                <w:color w:val="000000"/>
                <w:sz w:val="20"/>
                <w:szCs w:val="20"/>
              </w:rPr>
            </w:pPr>
            <w:r w:rsidRPr="00FB5B44">
              <w:rPr>
                <w:color w:val="000000"/>
                <w:sz w:val="20"/>
                <w:szCs w:val="20"/>
              </w:rPr>
              <w:t xml:space="preserve">LEGMET </w:t>
            </w:r>
            <w:r w:rsidRPr="00FB5B44">
              <w:rPr>
                <w:color w:val="000000"/>
                <w:sz w:val="20"/>
                <w:szCs w:val="20"/>
              </w:rPr>
              <w:br/>
              <w:t>ul. Złotoryjska 178/184</w:t>
            </w:r>
            <w:r w:rsidRPr="00FB5B44">
              <w:rPr>
                <w:color w:val="000000"/>
                <w:sz w:val="20"/>
                <w:szCs w:val="20"/>
              </w:rPr>
              <w:br/>
              <w:t>Legnica</w:t>
            </w:r>
          </w:p>
        </w:tc>
        <w:tc>
          <w:tcPr>
            <w:tcW w:w="1843" w:type="dxa"/>
            <w:shd w:val="clear" w:color="auto" w:fill="auto"/>
            <w:vAlign w:val="center"/>
          </w:tcPr>
          <w:p w14:paraId="56E8F75E" w14:textId="77777777" w:rsidR="003E7BEA" w:rsidRPr="00FB5B44" w:rsidRDefault="003E7BEA" w:rsidP="000040E5">
            <w:pPr>
              <w:snapToGrid w:val="0"/>
              <w:jc w:val="center"/>
              <w:rPr>
                <w:color w:val="000000"/>
                <w:sz w:val="20"/>
                <w:szCs w:val="20"/>
              </w:rPr>
            </w:pPr>
            <w:r w:rsidRPr="00FB5B44">
              <w:rPr>
                <w:color w:val="000000"/>
                <w:sz w:val="20"/>
                <w:szCs w:val="20"/>
              </w:rPr>
              <w:t>analogowe</w:t>
            </w:r>
          </w:p>
          <w:p w14:paraId="4266B434" w14:textId="77777777" w:rsidR="003E7BEA" w:rsidRPr="00FB5B44" w:rsidRDefault="003E7BEA" w:rsidP="000040E5">
            <w:pPr>
              <w:jc w:val="center"/>
              <w:rPr>
                <w:color w:val="000000"/>
                <w:sz w:val="20"/>
                <w:szCs w:val="20"/>
              </w:rPr>
            </w:pPr>
            <w:r w:rsidRPr="00FB5B44">
              <w:rPr>
                <w:color w:val="000000"/>
                <w:sz w:val="20"/>
                <w:szCs w:val="20"/>
              </w:rPr>
              <w:t>1x 2T</w:t>
            </w:r>
          </w:p>
        </w:tc>
        <w:tc>
          <w:tcPr>
            <w:tcW w:w="1701" w:type="dxa"/>
          </w:tcPr>
          <w:p w14:paraId="16F2FD84" w14:textId="44C21B76" w:rsidR="003E7BEA" w:rsidRDefault="003E7BEA" w:rsidP="002E778A">
            <w:pPr>
              <w:snapToGrid w:val="0"/>
              <w:spacing w:before="240" w:after="240"/>
              <w:jc w:val="center"/>
              <w:rPr>
                <w:color w:val="000000"/>
                <w:sz w:val="20"/>
                <w:szCs w:val="20"/>
              </w:rPr>
            </w:pPr>
          </w:p>
        </w:tc>
        <w:tc>
          <w:tcPr>
            <w:tcW w:w="1843" w:type="dxa"/>
            <w:vAlign w:val="center"/>
          </w:tcPr>
          <w:p w14:paraId="75B48A2D" w14:textId="589E1CC2" w:rsidR="003E7BEA" w:rsidRPr="00FB5B44" w:rsidRDefault="003E7BEA" w:rsidP="000040E5">
            <w:pPr>
              <w:snapToGrid w:val="0"/>
              <w:jc w:val="center"/>
              <w:rPr>
                <w:color w:val="000000"/>
                <w:sz w:val="20"/>
                <w:szCs w:val="20"/>
              </w:rPr>
            </w:pPr>
          </w:p>
        </w:tc>
      </w:tr>
    </w:tbl>
    <w:p w14:paraId="1A792EAC" w14:textId="77777777" w:rsidR="00FB5B44" w:rsidRPr="00FB5B44" w:rsidRDefault="00FB5B44" w:rsidP="00FB5B44">
      <w:pPr>
        <w:spacing w:line="276" w:lineRule="auto"/>
        <w:rPr>
          <w:b/>
          <w:bCs/>
          <w:u w:val="single"/>
        </w:rPr>
      </w:pPr>
    </w:p>
    <w:p w14:paraId="360048B0" w14:textId="77777777" w:rsidR="00FB5B44" w:rsidRPr="00FB5B44" w:rsidRDefault="00FB5B44" w:rsidP="00FB5B44">
      <w:pPr>
        <w:spacing w:line="276" w:lineRule="auto"/>
        <w:rPr>
          <w:b/>
          <w:bCs/>
          <w:u w:val="single"/>
        </w:rPr>
      </w:pPr>
    </w:p>
    <w:p w14:paraId="43F1575D" w14:textId="77777777" w:rsidR="00FB5B44" w:rsidRPr="00FB5B44" w:rsidRDefault="00FB5B44" w:rsidP="00FB5B44">
      <w:pPr>
        <w:spacing w:line="276" w:lineRule="auto"/>
        <w:rPr>
          <w:b/>
          <w:bCs/>
          <w:u w:val="single"/>
        </w:rPr>
      </w:pPr>
    </w:p>
    <w:p w14:paraId="3E8936D7" w14:textId="77777777" w:rsidR="00C54F2C" w:rsidRDefault="00C54F2C">
      <w:pPr>
        <w:spacing w:after="160" w:line="259" w:lineRule="auto"/>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br w:type="page"/>
      </w:r>
    </w:p>
    <w:p w14:paraId="793DB6C2" w14:textId="0FABE50B" w:rsidR="00FB5B44" w:rsidRPr="00FB5B44" w:rsidRDefault="00FB5B44" w:rsidP="00FB5B44">
      <w:pPr>
        <w:numPr>
          <w:ilvl w:val="0"/>
          <w:numId w:val="2"/>
        </w:numPr>
        <w:spacing w:line="276" w:lineRule="auto"/>
        <w:jc w:val="center"/>
        <w:rPr>
          <w:b/>
          <w:bCs/>
        </w:rPr>
      </w:pPr>
      <w:r w:rsidRPr="00FB5B44">
        <w:rPr>
          <w:b/>
          <w:bCs/>
          <w:u w:val="single"/>
        </w:rPr>
        <w:lastRenderedPageBreak/>
        <w:t xml:space="preserve">WYMAGANIA TECHNICZNE I JAKOSCIOWE DOTYCZĄCE NAJMOWANYCH ŁACZY TELEKOMUNIKACYJNYCH </w:t>
      </w:r>
    </w:p>
    <w:p w14:paraId="4F991B06" w14:textId="77777777" w:rsidR="00FB5B44" w:rsidRPr="00FB5B44" w:rsidRDefault="00FB5B44" w:rsidP="00FB5B44">
      <w:pPr>
        <w:widowControl w:val="0"/>
        <w:spacing w:line="276" w:lineRule="auto"/>
        <w:jc w:val="center"/>
        <w:rPr>
          <w:color w:val="000000"/>
          <w:sz w:val="16"/>
          <w:szCs w:val="16"/>
        </w:rPr>
      </w:pPr>
    </w:p>
    <w:p w14:paraId="3FAE9A68" w14:textId="77777777" w:rsidR="00FB5B44" w:rsidRPr="00FB5B44" w:rsidRDefault="00FB5B44" w:rsidP="00FB5B44">
      <w:pPr>
        <w:autoSpaceDE w:val="0"/>
        <w:spacing w:line="276" w:lineRule="auto"/>
        <w:ind w:left="709" w:hanging="482"/>
        <w:jc w:val="both"/>
      </w:pPr>
      <w:r w:rsidRPr="00FB5B44">
        <w:t xml:space="preserve">1. Parametry techniczne analogowych łączy teletransmisyjnych będą zgodne </w:t>
      </w:r>
      <w:r w:rsidRPr="00FB5B44">
        <w:br/>
        <w:t>z obowiązującymi normami przedstawionymi w poniższej tabeli:</w:t>
      </w:r>
    </w:p>
    <w:p w14:paraId="286670D5" w14:textId="77777777" w:rsidR="00FB5B44" w:rsidRPr="00FB5B44" w:rsidRDefault="00FB5B44" w:rsidP="00FB5B44">
      <w:pPr>
        <w:pStyle w:val="WW-Tekstpodstawowy2"/>
        <w:spacing w:line="276" w:lineRule="auto"/>
        <w:ind w:firstLine="708"/>
        <w:jc w:val="left"/>
        <w:rPr>
          <w:sz w:val="24"/>
          <w:szCs w:val="24"/>
        </w:rPr>
      </w:pPr>
      <w:r w:rsidRPr="00FB5B44">
        <w:rPr>
          <w:sz w:val="24"/>
          <w:szCs w:val="24"/>
        </w:rPr>
        <w:t>Normy zawierające standardy jakościowe dla łączy:</w:t>
      </w:r>
    </w:p>
    <w:tbl>
      <w:tblPr>
        <w:tblW w:w="0" w:type="auto"/>
        <w:tblInd w:w="1505" w:type="dxa"/>
        <w:tblLayout w:type="fixed"/>
        <w:tblCellMar>
          <w:left w:w="70" w:type="dxa"/>
          <w:right w:w="70" w:type="dxa"/>
        </w:tblCellMar>
        <w:tblLook w:val="0000" w:firstRow="0" w:lastRow="0" w:firstColumn="0" w:lastColumn="0" w:noHBand="0" w:noVBand="0"/>
      </w:tblPr>
      <w:tblGrid>
        <w:gridCol w:w="900"/>
        <w:gridCol w:w="5590"/>
      </w:tblGrid>
      <w:tr w:rsidR="00FB5B44" w:rsidRPr="00FB5B44" w14:paraId="2401F4DF" w14:textId="77777777" w:rsidTr="00C94AC0">
        <w:tc>
          <w:tcPr>
            <w:tcW w:w="900" w:type="dxa"/>
            <w:tcBorders>
              <w:top w:val="single" w:sz="4" w:space="0" w:color="000000"/>
              <w:left w:val="single" w:sz="4" w:space="0" w:color="000000"/>
              <w:bottom w:val="single" w:sz="4" w:space="0" w:color="000000"/>
            </w:tcBorders>
          </w:tcPr>
          <w:p w14:paraId="7D03682D" w14:textId="77777777" w:rsidR="00FB5B44" w:rsidRPr="00FB5B44" w:rsidRDefault="00FB5B44" w:rsidP="00C94AC0">
            <w:pPr>
              <w:snapToGrid w:val="0"/>
              <w:spacing w:line="276" w:lineRule="auto"/>
              <w:rPr>
                <w:b/>
              </w:rPr>
            </w:pPr>
            <w:r w:rsidRPr="00FB5B44">
              <w:rPr>
                <w:b/>
              </w:rPr>
              <w:t>L.p.</w:t>
            </w:r>
          </w:p>
        </w:tc>
        <w:tc>
          <w:tcPr>
            <w:tcW w:w="5590" w:type="dxa"/>
            <w:tcBorders>
              <w:top w:val="single" w:sz="4" w:space="0" w:color="000000"/>
              <w:left w:val="single" w:sz="4" w:space="0" w:color="000000"/>
              <w:bottom w:val="single" w:sz="4" w:space="0" w:color="000000"/>
              <w:right w:val="single" w:sz="4" w:space="0" w:color="000000"/>
            </w:tcBorders>
          </w:tcPr>
          <w:p w14:paraId="06C08D86" w14:textId="77777777" w:rsidR="00FB5B44" w:rsidRPr="00FB5B44" w:rsidRDefault="00FB5B44" w:rsidP="00C94AC0">
            <w:pPr>
              <w:pStyle w:val="Nagwek1"/>
              <w:widowControl w:val="0"/>
              <w:tabs>
                <w:tab w:val="num" w:pos="0"/>
                <w:tab w:val="left" w:pos="400"/>
              </w:tabs>
              <w:suppressAutoHyphens/>
              <w:autoSpaceDE w:val="0"/>
              <w:snapToGrid w:val="0"/>
              <w:spacing w:line="276" w:lineRule="auto"/>
              <w:ind w:left="400"/>
              <w:rPr>
                <w:rFonts w:ascii="Times New Roman" w:hAnsi="Times New Roman" w:cs="Times New Roman"/>
                <w:sz w:val="24"/>
              </w:rPr>
            </w:pPr>
            <w:r w:rsidRPr="00FB5B44">
              <w:rPr>
                <w:rFonts w:ascii="Times New Roman" w:hAnsi="Times New Roman" w:cs="Times New Roman"/>
                <w:sz w:val="24"/>
              </w:rPr>
              <w:t>Numer normy</w:t>
            </w:r>
          </w:p>
        </w:tc>
      </w:tr>
      <w:tr w:rsidR="00FB5B44" w:rsidRPr="00FB5B44" w14:paraId="52332034" w14:textId="77777777" w:rsidTr="00C94AC0">
        <w:trPr>
          <w:cantSplit/>
        </w:trPr>
        <w:tc>
          <w:tcPr>
            <w:tcW w:w="900" w:type="dxa"/>
            <w:tcBorders>
              <w:top w:val="single" w:sz="4" w:space="0" w:color="000000"/>
              <w:left w:val="single" w:sz="4" w:space="0" w:color="000000"/>
              <w:bottom w:val="single" w:sz="4" w:space="0" w:color="000000"/>
            </w:tcBorders>
          </w:tcPr>
          <w:p w14:paraId="7A1BC269" w14:textId="77777777" w:rsidR="00FB5B44" w:rsidRPr="00FB5B44" w:rsidRDefault="00FB5B44" w:rsidP="00C94AC0">
            <w:pPr>
              <w:snapToGrid w:val="0"/>
              <w:spacing w:line="276" w:lineRule="auto"/>
              <w:jc w:val="center"/>
            </w:pPr>
            <w:r w:rsidRPr="00FB5B44">
              <w:t>1</w:t>
            </w:r>
          </w:p>
        </w:tc>
        <w:tc>
          <w:tcPr>
            <w:tcW w:w="5590" w:type="dxa"/>
            <w:tcBorders>
              <w:top w:val="single" w:sz="4" w:space="0" w:color="000000"/>
              <w:left w:val="single" w:sz="4" w:space="0" w:color="000000"/>
              <w:bottom w:val="single" w:sz="4" w:space="0" w:color="000000"/>
              <w:right w:val="single" w:sz="4" w:space="0" w:color="000000"/>
            </w:tcBorders>
          </w:tcPr>
          <w:p w14:paraId="15FE2737" w14:textId="77777777" w:rsidR="00FB5B44" w:rsidRPr="00FB5B44" w:rsidRDefault="00FB5B44" w:rsidP="00C94AC0">
            <w:pPr>
              <w:snapToGrid w:val="0"/>
              <w:spacing w:line="276" w:lineRule="auto"/>
            </w:pPr>
            <w:r w:rsidRPr="00FB5B44">
              <w:t>PN-ETSI EN 300 448 V1.2.1:2002U</w:t>
            </w:r>
          </w:p>
        </w:tc>
      </w:tr>
      <w:tr w:rsidR="00FB5B44" w:rsidRPr="00FB5B44" w14:paraId="74BEDC05" w14:textId="77777777" w:rsidTr="00C94AC0">
        <w:trPr>
          <w:cantSplit/>
        </w:trPr>
        <w:tc>
          <w:tcPr>
            <w:tcW w:w="900" w:type="dxa"/>
            <w:tcBorders>
              <w:top w:val="single" w:sz="4" w:space="0" w:color="000000"/>
              <w:left w:val="single" w:sz="4" w:space="0" w:color="000000"/>
              <w:bottom w:val="single" w:sz="4" w:space="0" w:color="000000"/>
            </w:tcBorders>
          </w:tcPr>
          <w:p w14:paraId="0E673FB6" w14:textId="77777777" w:rsidR="00FB5B44" w:rsidRPr="00FB5B44" w:rsidRDefault="00FB5B44" w:rsidP="00C94AC0">
            <w:pPr>
              <w:snapToGrid w:val="0"/>
              <w:spacing w:line="276" w:lineRule="auto"/>
              <w:jc w:val="center"/>
            </w:pPr>
            <w:r w:rsidRPr="00FB5B44">
              <w:t>2</w:t>
            </w:r>
          </w:p>
        </w:tc>
        <w:tc>
          <w:tcPr>
            <w:tcW w:w="5590" w:type="dxa"/>
            <w:tcBorders>
              <w:top w:val="single" w:sz="4" w:space="0" w:color="000000"/>
              <w:left w:val="single" w:sz="4" w:space="0" w:color="000000"/>
              <w:bottom w:val="single" w:sz="4" w:space="0" w:color="000000"/>
              <w:right w:val="single" w:sz="4" w:space="0" w:color="000000"/>
            </w:tcBorders>
          </w:tcPr>
          <w:p w14:paraId="2A03F446" w14:textId="77777777" w:rsidR="00FB5B44" w:rsidRPr="00FB5B44" w:rsidRDefault="00FB5B44" w:rsidP="00C94AC0">
            <w:pPr>
              <w:snapToGrid w:val="0"/>
              <w:spacing w:line="276" w:lineRule="auto"/>
            </w:pPr>
            <w:r w:rsidRPr="00FB5B44">
              <w:t>PN-ETSI EN 300 449 V1.2.1:2002U</w:t>
            </w:r>
          </w:p>
        </w:tc>
      </w:tr>
      <w:tr w:rsidR="00FB5B44" w:rsidRPr="00FB5B44" w14:paraId="48C94744" w14:textId="77777777" w:rsidTr="00C94AC0">
        <w:trPr>
          <w:cantSplit/>
        </w:trPr>
        <w:tc>
          <w:tcPr>
            <w:tcW w:w="900" w:type="dxa"/>
            <w:tcBorders>
              <w:top w:val="single" w:sz="4" w:space="0" w:color="000000"/>
              <w:left w:val="single" w:sz="4" w:space="0" w:color="000000"/>
              <w:bottom w:val="single" w:sz="4" w:space="0" w:color="000000"/>
            </w:tcBorders>
          </w:tcPr>
          <w:p w14:paraId="590BADAA" w14:textId="77777777" w:rsidR="00FB5B44" w:rsidRPr="00FB5B44" w:rsidRDefault="00FB5B44" w:rsidP="00C94AC0">
            <w:pPr>
              <w:snapToGrid w:val="0"/>
              <w:spacing w:line="276" w:lineRule="auto"/>
              <w:jc w:val="center"/>
            </w:pPr>
            <w:r w:rsidRPr="00FB5B44">
              <w:t>3</w:t>
            </w:r>
          </w:p>
        </w:tc>
        <w:tc>
          <w:tcPr>
            <w:tcW w:w="5590" w:type="dxa"/>
            <w:tcBorders>
              <w:top w:val="single" w:sz="4" w:space="0" w:color="000000"/>
              <w:left w:val="single" w:sz="4" w:space="0" w:color="000000"/>
              <w:bottom w:val="single" w:sz="4" w:space="0" w:color="000000"/>
              <w:right w:val="single" w:sz="4" w:space="0" w:color="000000"/>
            </w:tcBorders>
          </w:tcPr>
          <w:p w14:paraId="30124AB8" w14:textId="77777777" w:rsidR="00FB5B44" w:rsidRPr="00FB5B44" w:rsidRDefault="00FB5B44" w:rsidP="00C94AC0">
            <w:pPr>
              <w:snapToGrid w:val="0"/>
              <w:spacing w:line="276" w:lineRule="auto"/>
            </w:pPr>
            <w:r w:rsidRPr="00FB5B44">
              <w:t>PN-ETSI EN 300 451 V1.2.1:2002U</w:t>
            </w:r>
          </w:p>
        </w:tc>
      </w:tr>
      <w:tr w:rsidR="00FB5B44" w:rsidRPr="00FB5B44" w14:paraId="4F4E7918" w14:textId="77777777" w:rsidTr="00C94AC0">
        <w:trPr>
          <w:cantSplit/>
        </w:trPr>
        <w:tc>
          <w:tcPr>
            <w:tcW w:w="900" w:type="dxa"/>
            <w:tcBorders>
              <w:top w:val="single" w:sz="4" w:space="0" w:color="000000"/>
              <w:left w:val="single" w:sz="4" w:space="0" w:color="000000"/>
              <w:bottom w:val="single" w:sz="4" w:space="0" w:color="000000"/>
            </w:tcBorders>
          </w:tcPr>
          <w:p w14:paraId="6CBFCE0C" w14:textId="77777777" w:rsidR="00FB5B44" w:rsidRPr="00FB5B44" w:rsidRDefault="00FB5B44" w:rsidP="00C94AC0">
            <w:pPr>
              <w:snapToGrid w:val="0"/>
              <w:spacing w:line="276" w:lineRule="auto"/>
              <w:jc w:val="center"/>
            </w:pPr>
            <w:r w:rsidRPr="00FB5B44">
              <w:t>4</w:t>
            </w:r>
          </w:p>
        </w:tc>
        <w:tc>
          <w:tcPr>
            <w:tcW w:w="5590" w:type="dxa"/>
            <w:tcBorders>
              <w:top w:val="single" w:sz="4" w:space="0" w:color="000000"/>
              <w:left w:val="single" w:sz="4" w:space="0" w:color="000000"/>
              <w:bottom w:val="single" w:sz="4" w:space="0" w:color="000000"/>
              <w:right w:val="single" w:sz="4" w:space="0" w:color="000000"/>
            </w:tcBorders>
          </w:tcPr>
          <w:p w14:paraId="1550941A" w14:textId="77777777" w:rsidR="00FB5B44" w:rsidRPr="00FB5B44" w:rsidRDefault="00FB5B44" w:rsidP="00C94AC0">
            <w:pPr>
              <w:snapToGrid w:val="0"/>
              <w:spacing w:line="276" w:lineRule="auto"/>
            </w:pPr>
            <w:r w:rsidRPr="00FB5B44">
              <w:t>PN-ETSI EN 300 452 V1.2.1:2002U</w:t>
            </w:r>
          </w:p>
        </w:tc>
      </w:tr>
    </w:tbl>
    <w:p w14:paraId="10886AC8" w14:textId="77777777" w:rsidR="00FB5B44" w:rsidRPr="00FB5B44" w:rsidRDefault="00FB5B44" w:rsidP="00FB5B44">
      <w:pPr>
        <w:autoSpaceDE w:val="0"/>
        <w:spacing w:line="276" w:lineRule="auto"/>
        <w:ind w:left="709" w:hanging="352"/>
        <w:jc w:val="both"/>
      </w:pPr>
      <w:r w:rsidRPr="00FB5B44">
        <w:t>2. Wykonawca na własny koszt zapewni łącza do poszczególnych węzłów łączności Zamawiającego z wykorzystaniem infrastruktury:</w:t>
      </w:r>
    </w:p>
    <w:p w14:paraId="5C75450F" w14:textId="77777777" w:rsidR="00FB5B44" w:rsidRPr="00FB5B44" w:rsidRDefault="00FB5B44" w:rsidP="00FB5B44">
      <w:pPr>
        <w:autoSpaceDE w:val="0"/>
        <w:spacing w:line="276" w:lineRule="auto"/>
        <w:ind w:left="709" w:hanging="1"/>
        <w:jc w:val="both"/>
      </w:pPr>
      <w:r w:rsidRPr="00FB5B44">
        <w:t>- miedzianym kablem telekomunikacyjnym.</w:t>
      </w:r>
    </w:p>
    <w:p w14:paraId="19E73874" w14:textId="77777777" w:rsidR="00FB5B44" w:rsidRPr="00FB5B44" w:rsidRDefault="00FB5B44" w:rsidP="00FB5B44">
      <w:pPr>
        <w:autoSpaceDE w:val="0"/>
        <w:spacing w:line="276" w:lineRule="auto"/>
        <w:ind w:left="709" w:hanging="1"/>
        <w:jc w:val="both"/>
      </w:pPr>
      <w:r w:rsidRPr="00FB5B44">
        <w:rPr>
          <w:color w:val="000000"/>
        </w:rPr>
        <w:t>Łącza zostaną wykorzystane na potrzeby pracy urządzeń radiowych.</w:t>
      </w:r>
    </w:p>
    <w:p w14:paraId="566D721C" w14:textId="77777777" w:rsidR="00FB5B44" w:rsidRPr="00FB5B44" w:rsidRDefault="00FB5B44" w:rsidP="00FB5B44">
      <w:pPr>
        <w:autoSpaceDE w:val="0"/>
        <w:autoSpaceDN w:val="0"/>
        <w:adjustRightInd w:val="0"/>
        <w:spacing w:line="276" w:lineRule="auto"/>
        <w:ind w:left="708" w:hanging="351"/>
        <w:jc w:val="both"/>
      </w:pPr>
      <w:r w:rsidRPr="00FB5B44">
        <w:t>3.</w:t>
      </w:r>
      <w:r w:rsidRPr="00FB5B44">
        <w:tab/>
        <w:t xml:space="preserve">Zamawiający nie dopuszcza instalacji urządzeń dostępu radiowego Wykonawcy na istniejących masztach w jednostkach Policji. Dopuszcza się instalację anteny na dachu budynku bez instalacji masztu. Instalacja urządzeń dostępu radiowego przez Wykonawcę nie może zakłócać pracy systemów radiokomunikacyjnych </w:t>
      </w:r>
      <w:r w:rsidRPr="00FB5B44">
        <w:br/>
        <w:t xml:space="preserve">i teleinformatycznych Zamawiającego. W przypadku instalacji urządzeń dostępu radiowego na obiektach Policji Wykonawca musi wykonać projekt instalacji </w:t>
      </w:r>
      <w:r w:rsidRPr="00FB5B44">
        <w:br/>
        <w:t xml:space="preserve">z uwzględnieniem instalacji zasilającej i odgromowej dla urządzeń dostępowych </w:t>
      </w:r>
      <w:r w:rsidRPr="00FB5B44">
        <w:br/>
        <w:t>w uzgodnieniu z Wydziałem Inwestycji i Remontów KWP we Wrocławiu oraz Wydziałem Teleinformatyki KWP we Wrocławiu. Wszelkiego rodzaju zezwolenia oraz uzgodnienia wymagane prawnie, niezbędne do wykonania projektu oraz wykonania instalacji pozostają po stronie Wykonawcy. Urządzenia dostępu radiowego Wykonawcy muszą posiadać moduł zasilania awaryjnego zapewniający bezprzerwową pracę w przypadku przerw zasilania z sieci elektroenergetycznej. Po wygaśnięciu umowy Wykonawca zobowiązany jest do demontażu urządzeń dostępu radiowego na własny koszt.</w:t>
      </w:r>
    </w:p>
    <w:p w14:paraId="3FBF9050" w14:textId="77777777" w:rsidR="00FB5B44" w:rsidRPr="00FB5B44" w:rsidRDefault="00FB5B44" w:rsidP="00FB5B44">
      <w:pPr>
        <w:autoSpaceDE w:val="0"/>
        <w:spacing w:line="276" w:lineRule="auto"/>
        <w:ind w:left="709" w:hanging="352"/>
        <w:jc w:val="both"/>
      </w:pPr>
      <w:r w:rsidRPr="00FB5B44">
        <w:t>4.  Wszelkie koszty niezbędne do uruchomienia, utrzymania łączy oraz demontażu urządzeń po zakończeniu umowy należy wkalkulować w wartość oferty. Łącze w danej jednostce musi być zakończone w szafie telekomunikacyjnej. Wszelkie dodatkowe koszty poniesione przez Wykonawcę w celu doprowadzenia zakończenia łącza do szafy telekomunikacyjnej winny być uwzględnione w sumarycznej opłacie miesięcznej. Zamawiający nie wymaga żadnych opłat za udostępnienie obiektów będących we władaniu jednostek Policji. W przypadku konieczności budowy infrastruktury przez Wykonawcę, uzgodnienia tras kablowych oraz ponoszenia wszelkich kosztów leży wyłącznie w gestii Wykonawcy. Przedmiotem zamówienia jest wyłącznie dzierżawa łączy telekomunikacyjnych w wymienionych relacjach z punktem zakończenia w szafie telekomunikacyjnej Zamawiającego.</w:t>
      </w:r>
    </w:p>
    <w:p w14:paraId="3310155F" w14:textId="77777777" w:rsidR="00FB5B44" w:rsidRPr="00FB5B44" w:rsidRDefault="00FB5B44" w:rsidP="00FB5B44">
      <w:pPr>
        <w:autoSpaceDE w:val="0"/>
        <w:autoSpaceDN w:val="0"/>
        <w:adjustRightInd w:val="0"/>
        <w:spacing w:line="276" w:lineRule="auto"/>
        <w:ind w:left="709" w:hanging="352"/>
        <w:jc w:val="both"/>
      </w:pPr>
      <w:r w:rsidRPr="00FB5B44">
        <w:t>5.</w:t>
      </w:r>
      <w:r w:rsidRPr="00FB5B44">
        <w:tab/>
        <w:t>W przypadku uszkodzeń elewacji, dachu, tynków lub istniejących instalacji powstałych podczas montażu i demontażu urządzeń dostępowych, Wykonawca zobowiązany jest do przywrócenia stanu pierwotnego na własny koszt.</w:t>
      </w:r>
    </w:p>
    <w:p w14:paraId="0B109BDB" w14:textId="150009D6" w:rsidR="00FB5B44" w:rsidRPr="00FB5B44" w:rsidRDefault="00FB5B44" w:rsidP="00FB5B44">
      <w:pPr>
        <w:autoSpaceDE w:val="0"/>
        <w:spacing w:line="276" w:lineRule="auto"/>
        <w:ind w:left="709" w:hanging="352"/>
        <w:jc w:val="both"/>
        <w:rPr>
          <w:color w:val="000000"/>
        </w:rPr>
      </w:pPr>
      <w:r w:rsidRPr="00FB5B44">
        <w:rPr>
          <w:color w:val="000000"/>
        </w:rPr>
        <w:t>6.</w:t>
      </w:r>
      <w:r w:rsidRPr="00FB5B44">
        <w:rPr>
          <w:color w:val="000000"/>
        </w:rPr>
        <w:tab/>
        <w:t xml:space="preserve">Dodatkowe wymagania dla </w:t>
      </w:r>
      <w:r w:rsidRPr="00FB5B44">
        <w:rPr>
          <w:b/>
          <w:color w:val="000000"/>
        </w:rPr>
        <w:t xml:space="preserve">zadania </w:t>
      </w:r>
      <w:r w:rsidR="009D2DAD">
        <w:rPr>
          <w:b/>
          <w:color w:val="000000"/>
        </w:rPr>
        <w:t>1</w:t>
      </w:r>
      <w:r w:rsidRPr="00FB5B44">
        <w:rPr>
          <w:b/>
          <w:color w:val="000000"/>
        </w:rPr>
        <w:t>.</w:t>
      </w:r>
    </w:p>
    <w:p w14:paraId="2C67B587" w14:textId="3B445924" w:rsidR="004F2C81" w:rsidRPr="005E00E6" w:rsidRDefault="00FB5B44" w:rsidP="005E00E6">
      <w:pPr>
        <w:autoSpaceDE w:val="0"/>
        <w:spacing w:line="276" w:lineRule="auto"/>
        <w:ind w:left="709" w:hanging="1"/>
        <w:jc w:val="both"/>
        <w:rPr>
          <w:color w:val="000000"/>
        </w:rPr>
      </w:pPr>
      <w:r w:rsidRPr="00FB5B44">
        <w:rPr>
          <w:color w:val="000000"/>
        </w:rPr>
        <w:lastRenderedPageBreak/>
        <w:t xml:space="preserve">Z uwagi na urządzenia radiowe, które będą pracowały na tym łączu wymaga się, aby długość łącza była ≤ </w:t>
      </w:r>
      <w:smartTag w:uri="urn:schemas-microsoft-com:office:smarttags" w:element="metricconverter">
        <w:smartTagPr>
          <w:attr w:name="ProductID" w:val="5 km"/>
        </w:smartTagPr>
        <w:r w:rsidRPr="00FB5B44">
          <w:rPr>
            <w:color w:val="000000"/>
          </w:rPr>
          <w:t>5 km</w:t>
        </w:r>
      </w:smartTag>
      <w:r w:rsidRPr="00FB5B44">
        <w:rPr>
          <w:color w:val="000000"/>
        </w:rPr>
        <w:t>, a tłumienność tego łącza była ≤ 10 dB</w:t>
      </w:r>
    </w:p>
    <w:sectPr w:rsidR="004F2C81" w:rsidRPr="005E00E6" w:rsidSect="005E00E6">
      <w:headerReference w:type="default" r:id="rId8"/>
      <w:pgSz w:w="11906" w:h="16838"/>
      <w:pgMar w:top="964" w:right="1418"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C7B3B" w14:textId="77777777" w:rsidR="00C25291" w:rsidRDefault="00C25291" w:rsidP="007239DE">
      <w:r>
        <w:separator/>
      </w:r>
    </w:p>
  </w:endnote>
  <w:endnote w:type="continuationSeparator" w:id="0">
    <w:p w14:paraId="550744D4" w14:textId="77777777" w:rsidR="00C25291" w:rsidRDefault="00C25291" w:rsidP="00723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82A3A" w14:textId="77777777" w:rsidR="00C25291" w:rsidRDefault="00C25291" w:rsidP="007239DE">
      <w:r>
        <w:separator/>
      </w:r>
    </w:p>
  </w:footnote>
  <w:footnote w:type="continuationSeparator" w:id="0">
    <w:p w14:paraId="436B5E02" w14:textId="77777777" w:rsidR="00C25291" w:rsidRDefault="00C25291" w:rsidP="00723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4B013" w14:textId="5C54B08A" w:rsidR="007239DE" w:rsidRDefault="007239DE" w:rsidP="007239DE">
    <w:pPr>
      <w:pStyle w:val="Nagwek"/>
      <w:jc w:val="right"/>
    </w:pPr>
    <w:r>
      <w:t>Załącznik nr 1 do Umowy …/TI/2025</w:t>
    </w:r>
  </w:p>
  <w:p w14:paraId="038B69BA" w14:textId="77777777" w:rsidR="007239DE" w:rsidRDefault="007239D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97A51"/>
    <w:multiLevelType w:val="hybridMultilevel"/>
    <w:tmpl w:val="01EACC58"/>
    <w:lvl w:ilvl="0" w:tplc="F252C6D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2F5DCF"/>
    <w:multiLevelType w:val="hybridMultilevel"/>
    <w:tmpl w:val="17E04632"/>
    <w:lvl w:ilvl="0" w:tplc="04150011">
      <w:start w:val="1"/>
      <w:numFmt w:val="decimal"/>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A3715D"/>
    <w:multiLevelType w:val="hybridMultilevel"/>
    <w:tmpl w:val="F6187FD2"/>
    <w:lvl w:ilvl="0" w:tplc="2F16E43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D291E57"/>
    <w:multiLevelType w:val="hybridMultilevel"/>
    <w:tmpl w:val="907C6884"/>
    <w:lvl w:ilvl="0" w:tplc="2D34945C">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54521A3B"/>
    <w:multiLevelType w:val="hybridMultilevel"/>
    <w:tmpl w:val="704C94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9C32DD"/>
    <w:multiLevelType w:val="hybridMultilevel"/>
    <w:tmpl w:val="AB569F36"/>
    <w:lvl w:ilvl="0" w:tplc="4ECE9DA2">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453"/>
    <w:rsid w:val="000040E5"/>
    <w:rsid w:val="000614E1"/>
    <w:rsid w:val="000C37E7"/>
    <w:rsid w:val="0012125F"/>
    <w:rsid w:val="00192958"/>
    <w:rsid w:val="001C2E28"/>
    <w:rsid w:val="002E778A"/>
    <w:rsid w:val="00360F43"/>
    <w:rsid w:val="003E7BEA"/>
    <w:rsid w:val="004732DC"/>
    <w:rsid w:val="004825CD"/>
    <w:rsid w:val="004B40FA"/>
    <w:rsid w:val="004F2C81"/>
    <w:rsid w:val="0055494F"/>
    <w:rsid w:val="005E00E6"/>
    <w:rsid w:val="0064161C"/>
    <w:rsid w:val="006707FD"/>
    <w:rsid w:val="006D2AE0"/>
    <w:rsid w:val="007239DE"/>
    <w:rsid w:val="00821FF6"/>
    <w:rsid w:val="008C1601"/>
    <w:rsid w:val="009C747D"/>
    <w:rsid w:val="009D2DAD"/>
    <w:rsid w:val="00AB5453"/>
    <w:rsid w:val="00BB313A"/>
    <w:rsid w:val="00C25291"/>
    <w:rsid w:val="00C54F2C"/>
    <w:rsid w:val="00C5722F"/>
    <w:rsid w:val="00C707D9"/>
    <w:rsid w:val="00D63ECF"/>
    <w:rsid w:val="00E7681D"/>
    <w:rsid w:val="00F27A29"/>
    <w:rsid w:val="00FB5B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BB7DE0"/>
  <w15:chartTrackingRefBased/>
  <w15:docId w15:val="{59183950-ACDA-4D25-919D-A0C73DF19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5B4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B5B4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B5B4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B5B44"/>
    <w:rPr>
      <w:rFonts w:asciiTheme="majorHAnsi" w:eastAsiaTheme="majorEastAsia" w:hAnsiTheme="majorHAnsi" w:cstheme="majorBidi"/>
      <w:color w:val="2F5496" w:themeColor="accent1" w:themeShade="BF"/>
      <w:sz w:val="32"/>
      <w:szCs w:val="32"/>
    </w:rPr>
  </w:style>
  <w:style w:type="paragraph" w:styleId="Tytu">
    <w:name w:val="Title"/>
    <w:basedOn w:val="Normalny"/>
    <w:link w:val="TytuZnak"/>
    <w:qFormat/>
    <w:rsid w:val="00FB5B44"/>
    <w:pPr>
      <w:jc w:val="center"/>
    </w:pPr>
    <w:rPr>
      <w:b/>
      <w:bCs/>
      <w:sz w:val="28"/>
    </w:rPr>
  </w:style>
  <w:style w:type="character" w:customStyle="1" w:styleId="TytuZnak">
    <w:name w:val="Tytuł Znak"/>
    <w:basedOn w:val="Domylnaczcionkaakapitu"/>
    <w:link w:val="Tytu"/>
    <w:rsid w:val="00FB5B44"/>
    <w:rPr>
      <w:rFonts w:ascii="Times New Roman" w:eastAsia="Times New Roman" w:hAnsi="Times New Roman" w:cs="Times New Roman"/>
      <w:b/>
      <w:bCs/>
      <w:sz w:val="28"/>
      <w:szCs w:val="24"/>
      <w:lang w:eastAsia="pl-PL"/>
    </w:rPr>
  </w:style>
  <w:style w:type="paragraph" w:customStyle="1" w:styleId="WW-Tekstpodstawowy2">
    <w:name w:val="WW-Tekst podstawowy 2"/>
    <w:basedOn w:val="Normalny"/>
    <w:rsid w:val="00FB5B44"/>
    <w:pPr>
      <w:keepNext/>
      <w:suppressAutoHyphens/>
      <w:spacing w:before="120"/>
      <w:jc w:val="both"/>
    </w:pPr>
    <w:rPr>
      <w:sz w:val="22"/>
      <w:szCs w:val="20"/>
    </w:rPr>
  </w:style>
  <w:style w:type="character" w:customStyle="1" w:styleId="Nagwek2Znak">
    <w:name w:val="Nagłówek 2 Znak"/>
    <w:basedOn w:val="Domylnaczcionkaakapitu"/>
    <w:link w:val="Nagwek2"/>
    <w:uiPriority w:val="9"/>
    <w:rsid w:val="00FB5B44"/>
    <w:rPr>
      <w:rFonts w:asciiTheme="majorHAnsi" w:eastAsiaTheme="majorEastAsia" w:hAnsiTheme="majorHAnsi" w:cstheme="majorBidi"/>
      <w:color w:val="2F5496" w:themeColor="accent1" w:themeShade="BF"/>
      <w:sz w:val="26"/>
      <w:szCs w:val="26"/>
      <w:lang w:eastAsia="pl-PL"/>
    </w:rPr>
  </w:style>
  <w:style w:type="paragraph" w:styleId="Akapitzlist">
    <w:name w:val="List Paragraph"/>
    <w:basedOn w:val="Normalny"/>
    <w:link w:val="AkapitzlistZnak"/>
    <w:uiPriority w:val="34"/>
    <w:qFormat/>
    <w:rsid w:val="00FB5B44"/>
    <w:pPr>
      <w:ind w:left="720"/>
      <w:contextualSpacing/>
    </w:pPr>
  </w:style>
  <w:style w:type="character" w:styleId="Odwoaniedokomentarza">
    <w:name w:val="annotation reference"/>
    <w:basedOn w:val="Domylnaczcionkaakapitu"/>
    <w:uiPriority w:val="99"/>
    <w:semiHidden/>
    <w:unhideWhenUsed/>
    <w:rsid w:val="00FB5B44"/>
    <w:rPr>
      <w:sz w:val="16"/>
      <w:szCs w:val="16"/>
    </w:rPr>
  </w:style>
  <w:style w:type="paragraph" w:styleId="Tekstkomentarza">
    <w:name w:val="annotation text"/>
    <w:basedOn w:val="Normalny"/>
    <w:link w:val="TekstkomentarzaZnak"/>
    <w:uiPriority w:val="99"/>
    <w:semiHidden/>
    <w:unhideWhenUsed/>
    <w:rsid w:val="00FB5B44"/>
    <w:rPr>
      <w:sz w:val="20"/>
      <w:szCs w:val="20"/>
    </w:rPr>
  </w:style>
  <w:style w:type="character" w:customStyle="1" w:styleId="TekstkomentarzaZnak">
    <w:name w:val="Tekst komentarza Znak"/>
    <w:basedOn w:val="Domylnaczcionkaakapitu"/>
    <w:link w:val="Tekstkomentarza"/>
    <w:uiPriority w:val="99"/>
    <w:semiHidden/>
    <w:rsid w:val="00FB5B4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5B44"/>
    <w:rPr>
      <w:b/>
      <w:bCs/>
    </w:rPr>
  </w:style>
  <w:style w:type="character" w:customStyle="1" w:styleId="TematkomentarzaZnak">
    <w:name w:val="Temat komentarza Znak"/>
    <w:basedOn w:val="TekstkomentarzaZnak"/>
    <w:link w:val="Tematkomentarza"/>
    <w:uiPriority w:val="99"/>
    <w:semiHidden/>
    <w:rsid w:val="00FB5B44"/>
    <w:rPr>
      <w:rFonts w:ascii="Times New Roman" w:eastAsia="Times New Roman" w:hAnsi="Times New Roman" w:cs="Times New Roman"/>
      <w:b/>
      <w:bCs/>
      <w:sz w:val="20"/>
      <w:szCs w:val="20"/>
      <w:lang w:eastAsia="pl-PL"/>
    </w:rPr>
  </w:style>
  <w:style w:type="character" w:customStyle="1" w:styleId="AkapitzlistZnak">
    <w:name w:val="Akapit z listą Znak"/>
    <w:link w:val="Akapitzlist"/>
    <w:uiPriority w:val="34"/>
    <w:qFormat/>
    <w:locked/>
    <w:rsid w:val="00F27A29"/>
    <w:rPr>
      <w:rFonts w:ascii="Times New Roman" w:eastAsia="Times New Roman" w:hAnsi="Times New Roman" w:cs="Times New Roman"/>
      <w:sz w:val="24"/>
      <w:szCs w:val="24"/>
      <w:lang w:eastAsia="pl-PL"/>
    </w:rPr>
  </w:style>
  <w:style w:type="table" w:styleId="Tabela-Siatka">
    <w:name w:val="Table Grid"/>
    <w:basedOn w:val="Standardowy"/>
    <w:uiPriority w:val="39"/>
    <w:rsid w:val="00BB3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239DE"/>
    <w:pPr>
      <w:tabs>
        <w:tab w:val="center" w:pos="4536"/>
        <w:tab w:val="right" w:pos="9072"/>
      </w:tabs>
    </w:pPr>
  </w:style>
  <w:style w:type="character" w:customStyle="1" w:styleId="NagwekZnak">
    <w:name w:val="Nagłówek Znak"/>
    <w:basedOn w:val="Domylnaczcionkaakapitu"/>
    <w:link w:val="Nagwek"/>
    <w:uiPriority w:val="99"/>
    <w:rsid w:val="007239D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239DE"/>
    <w:pPr>
      <w:tabs>
        <w:tab w:val="center" w:pos="4536"/>
        <w:tab w:val="right" w:pos="9072"/>
      </w:tabs>
    </w:pPr>
  </w:style>
  <w:style w:type="character" w:customStyle="1" w:styleId="StopkaZnak">
    <w:name w:val="Stopka Znak"/>
    <w:basedOn w:val="Domylnaczcionkaakapitu"/>
    <w:link w:val="Stopka"/>
    <w:uiPriority w:val="99"/>
    <w:rsid w:val="007239D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8493-6118-4FC3-9366-D6DF11A54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524</Words>
  <Characters>3150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WTI</dc:creator>
  <cp:keywords/>
  <dc:description/>
  <cp:lastModifiedBy>Adam Balicki</cp:lastModifiedBy>
  <cp:revision>4</cp:revision>
  <dcterms:created xsi:type="dcterms:W3CDTF">2025-04-02T09:30:00Z</dcterms:created>
  <dcterms:modified xsi:type="dcterms:W3CDTF">2025-05-08T13:31:00Z</dcterms:modified>
</cp:coreProperties>
</file>