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color w:val="000000"/>
        </w:rPr>
      </w:pPr>
      <w:r>
        <w:rPr>
          <w:color w:val="000000"/>
        </w:rPr>
        <w:t>Załącznik nr 1 do SWZ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Wymagania techniczno-użytkowe dla  fabrycznie nowego </w:t>
      </w:r>
      <w:r>
        <w:rPr>
          <w:rFonts w:cs="Garamond" w:ascii="Garamond" w:hAnsi="Garamond"/>
          <w:b/>
          <w:bCs/>
          <w:iCs/>
          <w:color w:val="000000"/>
          <w:spacing w:val="-5"/>
        </w:rPr>
        <w:t>lekkiego samochodu rozpoznawczo- ratowniczego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Style w:val="Tabela-Siatka"/>
        <w:tblW w:w="13995" w:type="dxa"/>
        <w:jc w:val="lef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9"/>
        <w:gridCol w:w="9661"/>
        <w:gridCol w:w="3705"/>
      </w:tblGrid>
      <w:tr>
        <w:trPr/>
        <w:tc>
          <w:tcPr>
            <w:tcW w:w="629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LP.</w:t>
            </w:r>
          </w:p>
        </w:tc>
        <w:tc>
          <w:tcPr>
            <w:tcW w:w="9661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WARUNKI ZAMAWIAJACEGO</w:t>
            </w:r>
          </w:p>
        </w:tc>
        <w:tc>
          <w:tcPr>
            <w:tcW w:w="3705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PROPOZYCJE WYKONAWCY</w:t>
            </w:r>
          </w:p>
        </w:tc>
      </w:tr>
      <w:tr>
        <w:trPr/>
        <w:tc>
          <w:tcPr>
            <w:tcW w:w="629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I.</w:t>
            </w:r>
          </w:p>
        </w:tc>
        <w:tc>
          <w:tcPr>
            <w:tcW w:w="9661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Warunki ogólne</w:t>
            </w:r>
          </w:p>
        </w:tc>
        <w:tc>
          <w:tcPr>
            <w:tcW w:w="3705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/>
        <w:tc>
          <w:tcPr>
            <w:tcW w:w="629" w:type="dxa"/>
            <w:vMerge w:val="restart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1.</w:t>
            </w:r>
          </w:p>
        </w:tc>
        <w:tc>
          <w:tcPr>
            <w:tcW w:w="966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Pojazd zabudowany i wyposażony spełnia następujące wymagania: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/>
        <w:tc>
          <w:tcPr>
            <w:tcW w:w="629" w:type="dxa"/>
            <w:vMerge w:val="continue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</w:tc>
        <w:tc>
          <w:tcPr>
            <w:tcW w:w="966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- ustawy z dnia 20 czerwca 1997 r. „Prawo o ruchu drogowym” (Dz. U. z 2021 r. poz. 450), wraz z przepisami wykonawczymi do ustawy,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9" w:type="dxa"/>
            <w:vMerge w:val="continue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</w:tc>
        <w:tc>
          <w:tcPr>
            <w:tcW w:w="966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-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1002 ze zm.),  wraz z uszczegółowieniem tych wymogów i wyposażeniem podanym niżej.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Spełnienie ww. wymagań to dostarczenie, przedłożenie najpóźniej w dniu odbioru techniczno-jakościowego przedmiotu zamówienia aktualnego świadectwa dopuszczenia dla dostarczonego pojazdu o ile Maksymalna Masa Rzeczywista pojazdu przekracza 3000 kg  oraz sprzętu - jeżeli przedmiotowe świadectwa będą dla niego wymagane.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9" w:type="dxa"/>
            <w:vMerge w:val="continue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</w:tc>
        <w:tc>
          <w:tcPr>
            <w:tcW w:w="966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-</w:t>
            </w:r>
            <w:r>
              <w:rPr>
                <w:rFonts w:eastAsia="Calibri"/>
                <w:color w:val="C9211E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 r. poz. 594)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9" w:type="dxa"/>
            <w:vMerge w:val="continue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</w:tc>
        <w:tc>
          <w:tcPr>
            <w:tcW w:w="966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- norm PN-EN 1846-1 oraz PN-EN 1846-2 o ile Maksymalna Masa Rzeczywista pojazdu przekracza 3000 kg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2.</w:t>
            </w:r>
          </w:p>
        </w:tc>
        <w:tc>
          <w:tcPr>
            <w:tcW w:w="966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Pojazd powinien być oznakowany numerami operacyjnymi zgodnie z zarządzeniem nr 1 Komendanta Głównego Państwowej Straży Pożarnej z dnia 24 stycznia 2020 r. w sprawie gospodarki transportowej w jednostkach organizacyjnych Państwowej Straży Pożarnej.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Numer operacyjny zostanie podany przez zamawiającego w trakcie realizacji zamówienia.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Wykonawca wykona i umieści na pojeździe logo/loga projektu dofinansowującego. </w:t>
            </w: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Dokładny wygląd i jej miejsce mocowania zostanie wskazane przez Zamawiającego po podpisaniu umowy. Naklejkę należy wykonać na folii samoprzylepnej, odpornej na niekorzystne działanie warunków atmosferycznych. Wykonawca przekaże także Użytkownikowi pojazdu dodatkowe 3 szt. ww. naklejek  umożliwiających samodzielne ich naklejanie.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/>
        <w:tc>
          <w:tcPr>
            <w:tcW w:w="62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3.</w:t>
            </w:r>
          </w:p>
        </w:tc>
        <w:tc>
          <w:tcPr>
            <w:tcW w:w="966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Podwozie pojazdu musi posiadać świadectwo homologacji wydane przez właściwego Ministra lub świadectwo WE. W przypadku, gdy przekroczone zostały warunki zabudowy określone przez producenta podwozia wymagane jest świadectwo homologacji całego pojazdu oraz zgoda producenta podwozia na wykonanie zabudowy. Urządzenia i podzespoły zamontowane w pojeździe powinny spełniać wymagania odrębnych przepisów krajowych i/lub międzynarodowych.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4.</w:t>
            </w:r>
          </w:p>
        </w:tc>
        <w:tc>
          <w:tcPr>
            <w:tcW w:w="966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Zmiany adaptacyjne pojazdu, dotyczące montażu wyposażenia, nie mogą powodować utraty ani ograniczać uprawnień wynikających z fabrycznej gwarancji producenta pojazdu.</w:t>
            </w:r>
          </w:p>
        </w:tc>
        <w:tc>
          <w:tcPr>
            <w:tcW w:w="370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9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II.</w:t>
            </w:r>
          </w:p>
        </w:tc>
        <w:tc>
          <w:tcPr>
            <w:tcW w:w="9661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Podwozie z kabiną i strefą bagażową</w:t>
            </w:r>
          </w:p>
        </w:tc>
        <w:tc>
          <w:tcPr>
            <w:tcW w:w="3705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/>
        <w:tc>
          <w:tcPr>
            <w:tcW w:w="62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1.</w:t>
            </w:r>
          </w:p>
        </w:tc>
        <w:tc>
          <w:tcPr>
            <w:tcW w:w="966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Pojazd fabrycznie nowy. Rok produkcji podwozia nie starszy niż 2024.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Podać producenta, typ i model podwozia oraz rok produkcji</w:t>
            </w:r>
            <w:r>
              <w:rPr>
                <w:rFonts w:eastAsia="Calibri"/>
                <w:b/>
                <w:color w:val="000000"/>
                <w:kern w:val="0"/>
                <w:lang w:val="pl-PL" w:eastAsia="en-US" w:bidi="ar-SA"/>
              </w:rPr>
              <w:t>.</w:t>
            </w:r>
          </w:p>
        </w:tc>
      </w:tr>
      <w:tr>
        <w:trPr/>
        <w:tc>
          <w:tcPr>
            <w:tcW w:w="62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2.</w:t>
            </w:r>
          </w:p>
        </w:tc>
        <w:tc>
          <w:tcPr>
            <w:tcW w:w="966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shd w:fill="FFFFFF" w:val="clear"/>
                <w:lang w:val="pl-PL" w:eastAsia="en-US" w:bidi="ar-SA"/>
              </w:rPr>
              <w:t>Minimalne parametry: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Kąt natarcia (°)                                   19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Kąt zejścia (°)</w:t>
              <w:tab/>
              <w:t xml:space="preserve">                                    20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Kąt rampowy (°)</w:t>
              <w:tab/>
              <w:t xml:space="preserve">                        20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Prześwit poprzeczny (mm)</w:t>
              <w:tab/>
              <w:t xml:space="preserve">            220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/>
        <w:tc>
          <w:tcPr>
            <w:tcW w:w="62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3.</w:t>
            </w:r>
          </w:p>
        </w:tc>
        <w:tc>
          <w:tcPr>
            <w:tcW w:w="966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Podwozie samochodu z silnikiem wysokoprężnym o zapłonie samoczynnym o mocy minimum </w:t>
              <w:br/>
              <w:t>140 kW spełniającym wymogi normy EURO 6. Pojemność silnika nie mniejsza niż 2000 cm3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Podać wartość. </w:t>
            </w:r>
            <w:r>
              <w:rPr>
                <w:rFonts w:eastAsia="Calibri"/>
                <w:i/>
                <w:color w:val="000000"/>
                <w:kern w:val="0"/>
                <w:lang w:val="pl-PL" w:eastAsia="en-US" w:bidi="ar-SA"/>
              </w:rPr>
              <w:t>Moc silnika jest parametrem promowanym</w:t>
            </w:r>
          </w:p>
        </w:tc>
      </w:tr>
      <w:tr>
        <w:trPr/>
        <w:tc>
          <w:tcPr>
            <w:tcW w:w="62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4.</w:t>
            </w:r>
          </w:p>
        </w:tc>
        <w:tc>
          <w:tcPr>
            <w:tcW w:w="966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Maksymalna masa rzeczywista (MMR) samochodu gotowego do jazdy, rozkład tej masy na osie oraz masa przypadająca na każdą z osi nie przekracza maksymalnych wartości określonych przez producenta pojazdu lub podwozia bazowego. </w:t>
            </w:r>
            <w:r>
              <w:rPr>
                <w:rFonts w:eastAsia="Calibri"/>
                <w:color w:themeColor="text1" w:val="000000"/>
                <w:kern w:val="0"/>
                <w:lang w:val="pl-PL" w:eastAsia="en-US" w:bidi="ar-SA"/>
              </w:rPr>
              <w:t>Rezerwa masy min. 5%.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5.</w:t>
            </w:r>
          </w:p>
        </w:tc>
        <w:tc>
          <w:tcPr>
            <w:tcW w:w="966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Skrzynia biegów manualna </w:t>
            </w: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 xml:space="preserve">zautomatyzowana </w:t>
            </w: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lub automatyczna.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eastAsia="Calibri"/>
                <w:i/>
                <w:kern w:val="0"/>
                <w:lang w:val="pl-PL" w:eastAsia="en-US" w:bidi="ar-SA"/>
              </w:rPr>
              <w:t>Rodzaj skrzyni biegów jest  parametrem promowanym</w:t>
            </w:r>
          </w:p>
        </w:tc>
      </w:tr>
      <w:tr>
        <w:trPr/>
        <w:tc>
          <w:tcPr>
            <w:tcW w:w="62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6.</w:t>
            </w:r>
          </w:p>
        </w:tc>
        <w:tc>
          <w:tcPr>
            <w:tcW w:w="966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Dopuszczalna Masa Całkowita nie większa niż 3500 kg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7.</w:t>
            </w:r>
          </w:p>
        </w:tc>
        <w:tc>
          <w:tcPr>
            <w:tcW w:w="966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>Kolor pojazdu - biały, czerwony lub srebrny</w:t>
            </w:r>
          </w:p>
        </w:tc>
        <w:tc>
          <w:tcPr>
            <w:tcW w:w="370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8.</w:t>
            </w:r>
          </w:p>
        </w:tc>
        <w:tc>
          <w:tcPr>
            <w:tcW w:w="966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Orurowanie przednie pojazdu</w:t>
            </w:r>
          </w:p>
        </w:tc>
        <w:tc>
          <w:tcPr>
            <w:tcW w:w="370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</w:tc>
        <w:tc>
          <w:tcPr>
            <w:tcW w:w="966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  <w:p>
            <w:pPr>
              <w:pStyle w:val="Normal"/>
              <w:numPr>
                <w:ilvl w:val="0"/>
                <w:numId w:val="8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Pojazd typu PICKUP z kabiną 4 drzwiową pięcioosobową (siedzenia przodem do kierunku jazdy) oraz  napędem 4 x 4  - stałym napędem obydwu osi lub z dołączanym napędem osi przedniej z blokadą tylnego mostu. Przestrzeń bagażowa/sprzętowa powinna posiadać zabudowę (np. typu „hard top"), o wysokości zbliżonej do wysokości kabiny, z możliwością łatwego dostępu do wnętrza,</w:t>
            </w:r>
          </w:p>
          <w:p>
            <w:pPr>
              <w:pStyle w:val="Normal"/>
              <w:numPr>
                <w:ilvl w:val="0"/>
                <w:numId w:val="8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Hak holowniczy kulowy do holowania przyczepy o dopuszczalnej masie całkowitej dostosowanej do masy samochodu, wraz ze złączem elektrycznym (gniazdo 13- pinowe oraz dodatkowo adapter przejściówka 13/7.</w:t>
            </w:r>
          </w:p>
          <w:p>
            <w:pPr>
              <w:pStyle w:val="Normal"/>
              <w:suppressAutoHyphens w:val="true"/>
              <w:spacing w:before="0" w:after="0"/>
              <w:ind w:left="72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Hak przystosowany do holowania przyczepy bez hamulca o dopuszczalnej masie całkowitej do 750 kg, oraz przyczepy z hamulcem o dopuszczalnej masie całkowitej co najmniej 2500 kg.</w:t>
            </w:r>
          </w:p>
          <w:p>
            <w:pPr>
              <w:pStyle w:val="Normal"/>
              <w:numPr>
                <w:ilvl w:val="0"/>
                <w:numId w:val="8"/>
              </w:numPr>
              <w:suppressAutoHyphens w:val="true"/>
              <w:spacing w:before="0" w:after="0"/>
              <w:rPr>
                <w:rFonts w:eastAsia="Calibri"/>
                <w:kern w:val="0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shd w:fill="FFFFFF" w:val="clear"/>
                <w:lang w:val="pl-PL" w:eastAsia="en-US" w:bidi="ar-SA"/>
              </w:rPr>
              <w:t xml:space="preserve">Wyciągarka o napędzie elektrycznym, zamontowana z przodu pojazdu, minimalna siła uciągu co najmniej równa 5400 kg, wyciągarka wyposażona w: linę syntetyczną o długości użytkowej minimum 20 m zakończoną kauszą i hakiem, rolkową lub ślizgową prowadnicę liny, zestaw szekli, taśm i zblocze, sterowana przewodowo i bezprzewodowo. </w:t>
              <w:br/>
              <w:t>W przypadku zamontowania wciągarki wystającej poza obrys pojazdu należy ją zabezpieczyć orurowaniem oraz wyposażyć w pokrowiec. Wyciągarka powinna posiadać niezależne zabezpieczenie zasilania elektrycznego, zabezpieczające instalacje elektryczną pojazdu przed uszkodzeniem w momencie przeciążenia wyciągarki. Przy wciągarce wykonać punkt mocowania szekli, umożliwiający wyciąganie pojazdu układem ruchomego bloczka. ,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9.</w:t>
            </w:r>
          </w:p>
        </w:tc>
        <w:tc>
          <w:tcPr>
            <w:tcW w:w="966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Instalacja elektryczna - moc alternatora, pojemność akumulatorów zapewnia pełne zapotrzebowanie na energię elektryczną przy jej maksymalnym obciążeniu.</w:t>
            </w:r>
          </w:p>
        </w:tc>
        <w:tc>
          <w:tcPr>
            <w:tcW w:w="370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10</w:t>
            </w:r>
          </w:p>
        </w:tc>
        <w:tc>
          <w:tcPr>
            <w:tcW w:w="966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shd w:fill="FFFFFF" w:val="clear"/>
                <w:lang w:val="pl-PL" w:eastAsia="en-US" w:bidi="ar-SA"/>
              </w:rPr>
              <w:t>Instalacja elektryczna wyposażona w jeden wyłącznik do odłączania urządzeń dodatkowo zamontowanych w pojeździe (np. ładowarki latarek i radiotelefonów, radiotelefony, urządzenia sygnalizacyjno-akustyczne) z wyłączeniem terminala AVL.</w:t>
            </w:r>
          </w:p>
        </w:tc>
        <w:tc>
          <w:tcPr>
            <w:tcW w:w="370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color="auto" w:fill="DDDDDD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III</w:t>
            </w:r>
          </w:p>
        </w:tc>
        <w:tc>
          <w:tcPr>
            <w:tcW w:w="9661" w:type="dxa"/>
            <w:tcBorders>
              <w:top w:val="nil"/>
            </w:tcBorders>
            <w:shd w:color="auto" w:fill="DDDDDD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Wyposażenie pojazdu</w:t>
            </w:r>
          </w:p>
        </w:tc>
        <w:tc>
          <w:tcPr>
            <w:tcW w:w="3705" w:type="dxa"/>
            <w:tcBorders>
              <w:top w:val="nil"/>
            </w:tcBorders>
            <w:shd w:color="auto" w:fill="DDDDDD" w:val="clear"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1.</w:t>
            </w:r>
          </w:p>
        </w:tc>
        <w:tc>
          <w:tcPr>
            <w:tcW w:w="9661" w:type="dxa"/>
            <w:tcBorders>
              <w:top w:val="nil"/>
            </w:tcBorders>
            <w:shd w:color="auto" w:fill="auto" w:val="clear"/>
          </w:tcPr>
          <w:p>
            <w:pPr>
              <w:pStyle w:val="BodyText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Wyposażenie pojazdu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System elektronicznej kontroli toru jazdy z systemami: Ochroną przed dachowaniem, System kontroli zjazdu ze wzniesienia, Asystent ruszania na wzniesieniu, System kontroli kołysania przyczepy,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 xml:space="preserve">System monitorowania ciśnienia w </w:t>
            </w: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>oponach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>6 poduszek powietrznych (przednie, boczne w fotelach przednich, kurtyny powietrzne)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>Immobiliser i Alarm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>LED-owe reflektory przednie, kierunkowskazy, światła do jazdy dziennej, przednie reflektory przeciwmgielne,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>Szyba od strony kierowcy z zabezpieczeniem przed przycięciem palców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>Hydrauliczne wspomaganie kierownicy zależne od prędkości jazdy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>Kierownica regulowana w dwóch płaszc</w:t>
            </w:r>
            <w:r>
              <w:rPr>
                <w:rFonts w:eastAsia="Calibri"/>
                <w:kern w:val="0"/>
                <w:lang w:val="pl-PL" w:eastAsia="en-US" w:bidi="ar-SA"/>
              </w:rPr>
              <w:t>zyznach,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Lusterka zewnętrzne elektrycznie regulowane, składane i podgrzewane z kierunkowskazem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Fotel kierowcy z regulacją wysokości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Czujnik zmierzchu i czujnik deszczu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Centralny zamek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2 gniazda USB typu C z przodu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Elektrycznie sterowane szyby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Czujniki parkowania: przód / tył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Osłony przeciwsłoneczne z lusterkami i podświetleniem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14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Blokada tylnego mostu</w:t>
            </w:r>
          </w:p>
          <w:p>
            <w:pPr>
              <w:pStyle w:val="BodyText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14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System ostrzegania i samoczynnego hamowania w przypadku ryzyka kolizji</w:t>
            </w:r>
          </w:p>
          <w:p>
            <w:pPr>
              <w:pStyle w:val="BodyText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System ostrzegania przed niezamierzoną zmianą pasa ruchu</w:t>
            </w:r>
          </w:p>
          <w:p>
            <w:pPr>
              <w:pStyle w:val="BodyText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System automatycznej zmiany świateł: drogowe / mijania</w:t>
            </w:r>
          </w:p>
          <w:p>
            <w:pPr>
              <w:pStyle w:val="BodyText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Alert o niebezpiecznej odległości od poprzedzającego pojazdu</w:t>
            </w:r>
          </w:p>
          <w:p>
            <w:pPr>
              <w:pStyle w:val="BodyText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Klimatyzacja automatyczna dwustrefowa</w:t>
            </w:r>
          </w:p>
          <w:p>
            <w:pPr>
              <w:pStyle w:val="BodyText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Oświetlenie okolic pojazdu w lusterkach</w:t>
            </w:r>
          </w:p>
          <w:p>
            <w:pPr>
              <w:pStyle w:val="BodyText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Monitorowanie martwego pola z asystentem</w:t>
            </w:r>
          </w:p>
          <w:p>
            <w:pPr>
              <w:pStyle w:val="BodyText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System monitoro</w:t>
            </w: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>wania ruchu za pojazdem z asystentem</w:t>
            </w:r>
          </w:p>
          <w:p>
            <w:pPr>
              <w:pStyle w:val="BodyText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>Tempomat adaptacyjny</w:t>
            </w:r>
          </w:p>
          <w:p>
            <w:pPr>
              <w:pStyle w:val="BodyText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>Nawigacja z odtwarzaczem AV (Audio Video)</w:t>
            </w:r>
          </w:p>
          <w:p>
            <w:pPr>
              <w:pStyle w:val="BodyText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hd w:fill="FFFFFF" w:val="clear"/>
                <w:lang w:val="pl-PL" w:eastAsia="en-US" w:bidi="ar-SA"/>
              </w:rPr>
              <w:t>System kamer 360 stopni,  obraz wyświetlany jest odrębnym wyświetlaczem niż wyświetlacz graficznego terminala statusów.</w:t>
            </w:r>
          </w:p>
          <w:p>
            <w:pPr>
              <w:pStyle w:val="BodyText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Elektryczne wspomaganie kierownicy</w:t>
            </w:r>
          </w:p>
          <w:p>
            <w:pPr>
              <w:pStyle w:val="BodyText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Minimum 18" felgi aluminiowe</w:t>
            </w:r>
          </w:p>
          <w:p>
            <w:pPr>
              <w:pStyle w:val="BodyText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pl-PL" w:eastAsia="en-US" w:bidi="ar-SA"/>
              </w:rPr>
              <w:t>Nakładka na próg drzwi przednich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Ogumienie szosowe letnie, bieżnik dostosowanym do różnych warunków atmosferycznych, oraz dodatkowo kpl opon zimowych.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</w:tc>
        <w:tc>
          <w:tcPr>
            <w:tcW w:w="370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color="auto" w:fill="DDDDDD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IV.</w:t>
            </w:r>
          </w:p>
        </w:tc>
        <w:tc>
          <w:tcPr>
            <w:tcW w:w="9661" w:type="dxa"/>
            <w:tcBorders>
              <w:top w:val="nil"/>
            </w:tcBorders>
            <w:shd w:color="auto" w:fill="DDDDDD" w:val="clear"/>
          </w:tcPr>
          <w:p>
            <w:pPr>
              <w:pStyle w:val="BodyText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Wyposażenie pożarnicze</w:t>
            </w:r>
          </w:p>
        </w:tc>
        <w:tc>
          <w:tcPr>
            <w:tcW w:w="3705" w:type="dxa"/>
            <w:tcBorders>
              <w:top w:val="nil"/>
            </w:tcBorders>
            <w:shd w:color="auto" w:fill="DDDDDD" w:val="clear"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669" w:hRule="atLeast"/>
        </w:trPr>
        <w:tc>
          <w:tcPr>
            <w:tcW w:w="62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1.</w:t>
            </w:r>
          </w:p>
        </w:tc>
        <w:tc>
          <w:tcPr>
            <w:tcW w:w="966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Kabina wyposażona dodatkowo w: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indywidualne oświetlenie nad siedzeniem dowódcy,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radiotelefon samochodowy (przewoźny) dwuzakresowy analogowy i cyfrowy  (szyfrowanie min. w standardzie ARC4 kluczem o długości 40 bit)- 2 szt z instalacją antenową na pasmo radiowe 148 MHz. Anteny 1/4 fali, zysk anteny 2,15 dBi, dostosowane do rodzaju zabudowy (metalowa/kompozytowa), zainstalowane na dachu pojazdu/kabiny kierowcy zgodnie z zaleceniami producenta anteny, zestrojone na częstotliwości 149.000 MH. Jeden z radiotelefonów z możliwością przełączania na zewnętrzny maszt antenowy. Obydwa radiotelefony wyposażone w mikrofonogłośnik bluetooth, umożliwiający bezprzewodowe prowadzenie korespondencji radiowej na zewnątrz pojazdu.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Terminal AVL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Gniazdo elektryczne 12 V (gniazdo zapalniczki),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Wideorejestrator z kartą pamięci - ekran LCD o przekątnej min. 2,4", rozdzielczość nagrywania min. Full HD (1920x1080 px) w dzień i w nocy (nagrywanie w pętli), rozdzielczość zdjęć minimum 4 Mpix, czujnik wstrząsów, automatyczne nagrywanie zdarzeń, czytnik kart pamięci, micro USB, szerokokątna kamera o kącie widzenia minimum 140˚ bez martwej strefy, możliwość wyjęcia urządzenia z samochodu i wykonania dokumentacji zdjęciowej z wypadków lub innych zdarzeń na drodze, sensor przeciążeń. Kartą pamięci min. 64 GB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Radiotelefony muszą spełniać minimalne wymagania techniczno-funkcjonalne określone </w:t>
              <w:br/>
              <w:t>w załączniku nr 3 do instrukcji stanowiącej załącznik do rozkazu nr 8 Komendanta Głównego PSP z dnia 5 kwietnia 2019 r. w sprawie wprowadzenia nowych zasad organizacji łączności w radiowej (</w:t>
            </w:r>
            <w:r>
              <w:rPr>
                <w:rFonts w:eastAsia="Times New Roman"/>
                <w:color w:val="000000"/>
                <w:kern w:val="0"/>
                <w:lang w:val="pl-PL" w:eastAsia="pl-PL" w:bidi="ar-SA"/>
              </w:rPr>
              <w:t>Dz.Urz.KGPSP.2019.7)</w:t>
            </w: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Radiotelefony powinny być zaprogramowane na podstawie danych (obsady kanałowej) podanych w trakcie realizacji umowy przez zamawiającego.</w:t>
            </w:r>
          </w:p>
          <w:p>
            <w:pPr>
              <w:pStyle w:val="Normal"/>
              <w:tabs>
                <w:tab w:val="clear" w:pos="708"/>
                <w:tab w:val="right" w:pos="-267" w:leader="none"/>
              </w:tabs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5669" w:hRule="atLeast"/>
        </w:trPr>
        <w:tc>
          <w:tcPr>
            <w:tcW w:w="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2.</w:t>
            </w:r>
          </w:p>
        </w:tc>
        <w:tc>
          <w:tcPr>
            <w:tcW w:w="966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Przedział bagażowy wyposażany w: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Gniazdo elektryczne 12 V (gniazdo zapalniczki), zamontowane w przedziale bagażowym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Oświetlenie w przedziale bagażowym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Zbijak do szyb z nożem do cięcia pasów bezpieczeństwa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Wielofunkcyjne narzędzie ratownicze do wejść siłowych typy T1 z możliwością cięcia prętów min. fi 14 lub podobne o nie gorszych parametrach technicznych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shd w:fill="FFFFFF" w:val="clear"/>
                <w:lang w:val="pl-PL" w:eastAsia="en-US" w:bidi="ar-SA"/>
              </w:rPr>
              <w:t>Miernik wielogazowy z pomiarem:  O2, CO, H2S i gazów wybuchowych. Rozdzielczość pomiaru CO od 1ppm, H2S od 0,1ppm, gazy wybuchowe 0,1% LEL ( DGW ), a tlen od 0,1%v/v. Wykonany w klasie IP67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Gaśnica przenośna proszkowa, min. 4 kg proszku ABC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Koc gaśniczy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Latarka akumulatorowa w wykonaniu co najmniej: EEx, IIC, T4, wraz z ładowarką - 2 kpl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Komplet dysków sygnalizacyjnych (min. 6 szt.) przewożonych w walizce - 1 kpl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Taśma ostrzegawcza rolka 500 m z napisem „STRAŻ"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Radiotelefon przenośny z ładowarką zasilaną z instalacji samochodu dwuzakresowy analogowy i cyfrowy  (szyfrowanie min. w standardzie ARC4 kluczem o długości 40 bit)- 2 szt - dopuszcza się montaż w innym miejscu niż przedział bagażowy.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Maszt antenowy (min. 6 m), w komplecie z kablem antenowym o długości min. 10 mb do podłączenia anteny, anteną na pasmo VHF z uchwytem, skrzynką z narzędziami do montażu masztu, pokrowcem na maszt, Dodatkowo mocowanie do pojazdu i odciągi stalowe do postawienia jako maszt wolnostojący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Zestaw ratownictwa medycznego R1 w wersji plecakowej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Przedział bagażowy odizolowany od warunków atmosferycznym z szafką do montażu na ww. elementy.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</w:r>
          </w:p>
        </w:tc>
        <w:tc>
          <w:tcPr>
            <w:tcW w:w="370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/>
        <w:tc>
          <w:tcPr>
            <w:tcW w:w="62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3.</w:t>
            </w:r>
          </w:p>
        </w:tc>
        <w:tc>
          <w:tcPr>
            <w:tcW w:w="9661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9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Pojazd posiada urządzenia sygnalizacyjno - ostrzegawcze, akustyczne i świetlne pojazdu uprzywilejowanego, (stopień ochrony urządzeń zamontowanych poza kabiną nie mniejsza niż IP 65) w formie galeryjki LED z system umożliwiającym podawanie komunikatów słownych oraz dźwiękowych wyposażone w kontrolę poziomu głośności.  S</w:t>
            </w:r>
            <w:r>
              <w:rPr>
                <w:rFonts w:eastAsia="Calibri" w:cs="Calibri" w:cstheme="minorHAnsi"/>
                <w:color w:val="000000"/>
                <w:kern w:val="0"/>
                <w:lang w:val="pl-PL" w:eastAsia="en-US" w:bidi="ar-SA"/>
              </w:rPr>
              <w:t>ygnalizacja świetlna wykonana w technologii LED, budowa niskoprofilowa, montowana na dachu kabiny, musi być osłonięta konstrukcją uniemożliwiającą uszkodzenie jej przez np. gałęzie.</w:t>
            </w:r>
          </w:p>
          <w:p>
            <w:pPr>
              <w:pStyle w:val="Normal"/>
              <w:numPr>
                <w:ilvl w:val="0"/>
                <w:numId w:val="9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lang w:val="pl-PL" w:eastAsia="en-US" w:bidi="ar-SA"/>
              </w:rPr>
              <w:t>Z tyłu pojazdu  - na zabudowie typu hardtop  zamontowana dodatkowa – trzecia lampa LED , po lewej stronie z możliwością emitowania zamiennie światła barwy niebieskiej lub czerwonej z możliwością wyłączania w przypadku jazdy w kolumnie.</w:t>
            </w:r>
          </w:p>
          <w:p>
            <w:pPr>
              <w:pStyle w:val="Normal"/>
              <w:numPr>
                <w:ilvl w:val="0"/>
                <w:numId w:val="9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Z przodu pojazdu (w atrapie lub zderzaku) zamontowane dwie lampy LED niebieskie kierunkowe. Lampy wyposażone w przezroczyste klosze, min 6 LED każda.,</w:t>
            </w:r>
          </w:p>
          <w:p>
            <w:pPr>
              <w:pStyle w:val="Normal"/>
              <w:numPr>
                <w:ilvl w:val="0"/>
                <w:numId w:val="9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Urządzenie dźwiękowe (min. 3 modulowane tony zmieniane przyciskiem sygnały w miejscu dostępnym dla kierowcy oraz wyposażone w funkcję „mix” automatycznie zmieniającą modulowane tony co określony czas) wyposażone w funkcję megafonu. Wartość ciśnienia akustycznego generowanego przez urządzenie o wartości min. 110 dB (dla każdego rodzaju dźwięku o zmiennym tonie, mierzona w odległości 3 metry przed pojazdem). Dodatkowo pojazd powinien być wyposażony w system pozwalający na generowanie tonów o niskiej częstotliwości, współpracujący z zamontowanym modulatorem. Głośniki systemu niskiej częstotliwości powinny być zamontowane z przodu pojazdu. Maksymalny poziom ciśnienia akustycznego wewnątrz kabiny pojazdu przy włączonej sygnalizacji dźwiękowej maksymalnie 85 dB (dotyczy wszystkich rodzajów sygnałów),</w:t>
            </w:r>
          </w:p>
          <w:p>
            <w:pPr>
              <w:pStyle w:val="Normal"/>
              <w:numPr>
                <w:ilvl w:val="0"/>
                <w:numId w:val="9"/>
              </w:numPr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Urządzenie sygnalizacji świetlnej i dźwiękowej pojazdu uprzywilejowanego uruchamiane manipulatorem zmontowanym w miejscu umożliwiającym obsługę przez kierowcę i dowódcę. Manipulator z wbudowanym mikrofonem do podawania komunikatów przez megafon.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C9211E"/>
              </w:rPr>
            </w:pPr>
            <w:r>
              <w:rPr>
                <w:color w:val="C9211E"/>
              </w:rPr>
            </w:r>
          </w:p>
        </w:tc>
      </w:tr>
      <w:tr>
        <w:trPr/>
        <w:tc>
          <w:tcPr>
            <w:tcW w:w="62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4.</w:t>
            </w:r>
          </w:p>
        </w:tc>
        <w:tc>
          <w:tcPr>
            <w:tcW w:w="966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 samochodzie zamontowany moduł lokalizacji pojazdów wyposażony w graficzny terminal statusów (AVL) spełniający poniższe wymagania oraz posiadający: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jednostkę centralną,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graficzny terminal statusów,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zasilanie z niezależnego akumulatora, umożliwiając pracę modułu w przypadku braku zasilania głównego,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zewnętrzną antenę GPS,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zewnętrzną antenę GSM,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czujnik użycia (działania) sygnału uprzywilejowania (świetlnego i dźwiękowego),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uchwyt do montażu graficznego terminala statusów w pojeździe,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możliwość rejestrowania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włączenia/wyłączenia stacyjki samochodu.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Moduł wraz z urządzeniami współpracującymi musi zapewniać pełną gotowość do pracy w czasie poniżej 60 sek.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Jednostka centralna odpowiedzialna za komunikację samochodu z aplikacją zarządzającą musi być wyposażona w: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pamięć podręczną o pojemności co najmniej 2 MB, która zapamiętuje wszystkie parametry pojazdu (w szczególności: wysyłane statusy, prędkość pojazdu, położenie pojazdu),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co najmniej 4 wejścia analogowe i 6 wejść cyfrowych,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wejście anteny GPS,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wejście anteny GSM,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port do komunikacji z zewnętrznym graficznym terminalem,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wejście mikrofonowe,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wyjście głośnikowe.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Jednostka centralna musi posiadać następującą funkcjonalność: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lokalizować pojazd w oparciu o system GPS w co najwyżej 5 sekundowych odstępach czasu,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wysyłać standardowo dane o lokalizacji pojazdu do aplikacji zarządzającej systemem monitoringu min. co 30 sek., przy czym częstotliwość ta może być w dowolny sposób zdefiniowana przez użytkownika lub poprzez aplikację zarządzającą,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umożliwiać wysyłanie danych o lokalizacji pojazdu na żądanie uprawnionego dyspozytora,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musi umożliwiać wysyłanie informacji z czujnika o załączeniu i używaniu sygnałów uprzywilejowania przez pojazdy ratownicze PSP,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wysyłać statusy do dyspozytora właściwej aplikacji z systemu SWD-PSP niezwłocznie po ich zatwierdzeniu przez kierowcę pojazdu,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musi pozwalać na aktualizowanie oprogramowania jednostki centralnej za pomocą GPRS-u oraz bezpośrednio po podłączeniu jednostki centralnej do komputera,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zapamiętywać ostatnie znane położenie pojazdu.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Graficzny terminal statusów musi: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posiadać kolorowy ekran dotykowy o przekątnej min. 7”, (inny niż wyświetlacz kamery cofania)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posiadać własny autonomiczny system operacyjny niezależny od Dostawcy, celem zapewnienia otwartości systemu i uniezależnienia się Zamawiającego od oprogramowania jednego dostawcy,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umożliwiać wysyłanie i odbieranie wiadomości tekstowych,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umożliwiać przesyłanie statusów,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pracować jako nawigacja samochodowa,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posiadać zainstalowaną samochodową mapę Polski i Europy (licencję na oprogramowanie należy dostarczyć Zamawiającemu wraz z dostawą),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nawigować pojazd z ostatniej, zapamiętanej przez jednostkę centralną pozycji,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automatycznie wyznaczać trasę dojazdu do punktu wyznaczonego przez właściwego dyspozytora (tzn. do konkretnego adresu, ulicy lub współrzędnych geograficznych),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mieć możliwość zdalnej rekonfiguracji systemu statusów,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odbierać i umożliwić przeglądanie plików w formatach: PDF, JPG, GIF i BMP,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mieć ustawione następujące statusy:</w:t>
            </w:r>
          </w:p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Kod/status 1 – wyjazd do miejsce zdarzenia,</w:t>
            </w:r>
          </w:p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Kod/status 2 – przyjazd na miejsce zdarzenia,</w:t>
            </w:r>
          </w:p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Kod/status 3 – sytuacja opanowana,</w:t>
            </w:r>
          </w:p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Kod/status 4 – koniec działań (ratowniczych)</w:t>
            </w:r>
          </w:p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Kod/status 5 – powrót do bazy,</w:t>
            </w:r>
          </w:p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Kod/status 6 – awaria, wyłączenie (samochodu z działań ratowniczych).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Moduł integrujący system wysyłania statusów i lokalizacji pojazdów z aplikacją dyspozytorską wykorzystywaną na stanowiskach kierowania PSP (aplikacja SWD-PSP, której producentem jest firma Abakus sp. z o.o.):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niezbędne licencje dla dostarczanych urządzeń umożliwiających ich współpracę z systemem SWD-PSP pracującym w KP/KM PSP,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alarmowanie pojazdów poprzez automatyczne przekazywanie karty zdarzenia, zarejestrowanej w systemie dyspozytorskim, do dysponowanego pojazdu,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przekazywanie do pojazdów informacji o miejscu zdarzenia w postaci współrzędnych geograficznych lub danych adresowych,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rejestrowanie potwierdzenia dotarcia karty zdarzenia do zadysponowanego pojazdu,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wysyłanie dodatkowych informacji tekstowych do zadysponowanych pojazdów,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odbiór potwierdzeń z wysłanych informacji tekstowych,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rejestrowanie w systemie dyspozytorskim czasów operacyjnych związanych statusem poszczególnych pojazdów,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odczyt zarejestrowanych współrzędnych geograficznych lokalizowanych pojazdów w zadanym przedziale czasowym lub na żądanie,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odczyt zarejestrowanych współrzędnych geograficznych lokalizowanych pojazdów w zadanym przedziale czasowym.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Wymagania dodatkowe: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Dostawca zapewni pełną funkcjonalność urządzenia i współpracę z systemem monitoringu ruchu pojazdów użytkowanych w jednostkach PSP odbiorcy w momencie odbioru pojazdu,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Odbiorca przekaże Dostawcy telemetryczne karty SIM niezbędnych do wykonania konfiguracji dostarczanych urządzeń,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Miejsce montażu terminala graficznego statusów oraz jednostki centralnej należy uzgodnić z Odbiorcą,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Dostawca zobowiązany jest do aktualizacji oprogramowania, w tym mapy Polski i Europy w okresie obowiązywania gwarancji na pojazd,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Dostawca dostarczy oprogramowanie klienckie zapewniające komunikację i wymianę danych z systemem zarządzania i monitorowania pojazdów PSP użytkowanym przez Odbiorcę.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 ramach montażu nowego urządzenia Dostawca zobowiązany będzie do przygotowania i przekazania Odbiorcy - instrukcji montażu, obsługi i programowania sterowników GPS oraz terminali statusów, dokumentów licencyjnych na dostarczone oprogramowanie.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9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V.</w:t>
            </w:r>
          </w:p>
        </w:tc>
        <w:tc>
          <w:tcPr>
            <w:tcW w:w="9661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Pozostałe warunki Zamawiającego</w:t>
            </w:r>
          </w:p>
        </w:tc>
        <w:tc>
          <w:tcPr>
            <w:tcW w:w="3705" w:type="dxa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/>
        <w:tc>
          <w:tcPr>
            <w:tcW w:w="62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1.</w:t>
            </w:r>
          </w:p>
        </w:tc>
        <w:tc>
          <w:tcPr>
            <w:tcW w:w="966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Minimalna gwarancja na zabudowę : 24 miesiące</w:t>
            </w:r>
          </w:p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Minimalna gwarancja na podwozie: 24 miesiące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/>
        <w:tc>
          <w:tcPr>
            <w:tcW w:w="62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2.</w:t>
            </w:r>
          </w:p>
        </w:tc>
        <w:tc>
          <w:tcPr>
            <w:tcW w:w="966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Minimum jeden </w:t>
            </w:r>
            <w:r>
              <w:rPr>
                <w:rFonts w:eastAsia="Calibri"/>
                <w:b/>
                <w:color w:val="000000"/>
                <w:kern w:val="0"/>
                <w:lang w:val="pl-PL" w:eastAsia="en-US" w:bidi="ar-SA"/>
              </w:rPr>
              <w:t>punkt serwisowy nadwozia</w:t>
            </w: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 (podać adres serwisu nadwozia najbliższy siedzibie Zamawiającego)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/>
        <w:tc>
          <w:tcPr>
            <w:tcW w:w="62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3.</w:t>
            </w:r>
          </w:p>
        </w:tc>
        <w:tc>
          <w:tcPr>
            <w:tcW w:w="966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Minimum jeden </w:t>
            </w:r>
            <w:r>
              <w:rPr>
                <w:rFonts w:eastAsia="Calibri"/>
                <w:b/>
                <w:color w:val="000000"/>
                <w:kern w:val="0"/>
                <w:lang w:val="pl-PL" w:eastAsia="en-US" w:bidi="ar-SA"/>
              </w:rPr>
              <w:t>punkt serwisowy podwozia</w:t>
            </w: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 (podać adres serwisu podwozia najbliższy siedzibie Zamawiającego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/>
        <w:tc>
          <w:tcPr>
            <w:tcW w:w="62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4.</w:t>
            </w:r>
          </w:p>
        </w:tc>
        <w:tc>
          <w:tcPr>
            <w:tcW w:w="966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Wykonawca obowiązany jest do dostarczenia wraz z pojazdem: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b/>
                <w:color w:val="000000"/>
                <w:kern w:val="0"/>
                <w:lang w:val="pl-PL" w:eastAsia="en-US" w:bidi="ar-SA"/>
              </w:rPr>
              <w:t>instrukcji obsługi</w:t>
            </w: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 w języku polskim do podwozia samochodu, zabudowy pożarniczej </w:t>
              <w:br/>
              <w:t>i zainstalowanych urządzeń i wyposażenia,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b/>
                <w:color w:val="000000"/>
                <w:kern w:val="0"/>
                <w:lang w:val="pl-PL" w:eastAsia="en-US" w:bidi="ar-SA"/>
              </w:rPr>
              <w:t>dokumentacji niezbędne</w:t>
            </w: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j do zarejestrowania pojazdu jako „samochód specjalny”, wynikającej z ustawy „Prawo o ruchu drogowym”.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b/>
                <w:color w:val="000000"/>
                <w:kern w:val="0"/>
                <w:lang w:val="pl-PL" w:eastAsia="en-US" w:bidi="ar-SA"/>
              </w:rPr>
              <w:t>instrukcje obsługi urządzeń i sprzętu</w:t>
            </w: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 xml:space="preserve"> zamontowanego w pojeździe, wszystkie w języku polskim.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before="0" w:after="160"/>
              <w:contextualSpacing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/>
                <w:color w:val="000000"/>
                <w:kern w:val="0"/>
                <w:lang w:val="pl-PL" w:eastAsia="en-US" w:bidi="ar-SA"/>
              </w:rPr>
              <w:t>Inne dokumenty dotyczące pojazdu wskazane w Umowie</w:t>
            </w:r>
          </w:p>
        </w:tc>
        <w:tc>
          <w:tcPr>
            <w:tcW w:w="370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Uwaga : Wykonawca wypełnia kolumnę ,, Propozycje Wykonawcy ‘’, podając konkretny parametr lub wpisując np. wersje rozwiązania lub wyraz ,,spełnia ‘’. </w:t>
      </w:r>
    </w:p>
    <w:sectPr>
      <w:headerReference w:type="default" r:id="rId2"/>
      <w:footerReference w:type="default" r:id="rId3"/>
      <w:type w:val="nextPage"/>
      <w:pgSz w:orient="landscape" w:w="16838" w:h="11906"/>
      <w:pgMar w:left="1418" w:right="1418" w:gutter="0" w:header="863" w:top="1426" w:footer="709" w:bottom="1418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Segoe UI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Garamond">
    <w:charset w:val="01"/>
    <w:family w:val="swiss"/>
    <w:pitch w:val="default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00447117"/>
    </w:sdtPr>
    <w:sdtContent>
      <w:p>
        <w:pPr>
          <w:pStyle w:val="Footer"/>
          <w:rPr>
            <w:rFonts w:ascii="Cambria" w:hAnsi="Cambria" w:asciiTheme="majorHAnsi" w:hAnsiTheme="majorHAnsi"/>
          </w:rPr>
        </w:pPr>
        <w:r>
          <w:rPr>
            <w:rFonts w:ascii="Cambria" w:hAnsi="Cambria" w:asciiTheme="majorHAnsi" w:hAnsiTheme="majorHAnsi"/>
          </w:rPr>
          <w:t xml:space="preserve">str. 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numPr>
        <w:ilvl w:val="0"/>
        <w:numId w:val="0"/>
      </w:numPr>
      <w:spacing w:lineRule="auto" w:line="360" w:before="0" w:after="140"/>
      <w:ind w:hanging="0" w:left="0"/>
      <w:jc w:val="left"/>
      <w:outlineLvl w:val="0"/>
      <w:rPr>
        <w:color w:val="FF0000"/>
      </w:rPr>
    </w:pPr>
    <w:r>
      <w:rPr>
        <w:color w:val="FF0000"/>
      </w:rPr>
      <w:t xml:space="preserve"> </w:t>
    </w:r>
    <w:r>
      <w:rPr>
        <w:color w:val="000000"/>
      </w:rPr>
      <w:t>Nr. sprawy MT.2070.</w:t>
    </w:r>
    <w:r>
      <w:rPr>
        <w:color w:val="000000"/>
      </w:rPr>
      <w:t>1</w:t>
    </w:r>
    <w:r>
      <w:rPr>
        <w:color w:val="000000"/>
      </w:rPr>
      <w:t>.202</w:t>
    </w:r>
    <w:r>
      <w:rPr>
        <w:color w:val="000000"/>
      </w:rPr>
      <w:t>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53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9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•"/>
      <w:lvlJc w:val="left"/>
      <w:pPr>
        <w:tabs>
          <w:tab w:val="num" w:pos="0"/>
        </w:tabs>
        <w:ind w:left="53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9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0"/>
        </w:tabs>
        <w:ind w:left="53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95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3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60" w:hanging="180"/>
      </w:pPr>
      <w:rPr/>
    </w:lvl>
  </w:abstractNum>
  <w:abstractNum w:abstractNumId="6">
    <w:lvl w:ilvl="0">
      <w:start w:val="1"/>
      <w:numFmt w:val="bullet"/>
      <w:lvlText w:val="•"/>
      <w:lvlJc w:val="left"/>
      <w:pPr>
        <w:tabs>
          <w:tab w:val="num" w:pos="0"/>
        </w:tabs>
        <w:ind w:left="53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95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16f2"/>
    <w:pPr>
      <w:widowControl w:val="false"/>
      <w:suppressAutoHyphens w:val="true"/>
      <w:bidi w:val="0"/>
      <w:spacing w:lineRule="auto" w:line="276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387a44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b94a5d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b94a5d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de2682"/>
    <w:rPr/>
  </w:style>
  <w:style w:type="character" w:styleId="NagwekZnak" w:customStyle="1">
    <w:name w:val="Nagłówek Znak"/>
    <w:basedOn w:val="DefaultParagraphFont"/>
    <w:uiPriority w:val="99"/>
    <w:qFormat/>
    <w:rsid w:val="00de2682"/>
    <w:rPr/>
  </w:style>
  <w:style w:type="character" w:styleId="StopkaZnak1" w:customStyle="1">
    <w:name w:val="Stopka Znak1"/>
    <w:basedOn w:val="DefaultParagraphFont"/>
    <w:uiPriority w:val="99"/>
    <w:semiHidden/>
    <w:qFormat/>
    <w:rsid w:val="00de2682"/>
    <w:rPr/>
  </w:style>
  <w:style w:type="character" w:styleId="Nagwek2Znak" w:customStyle="1">
    <w:name w:val="Nagłówek 2 Znak"/>
    <w:basedOn w:val="DefaultParagraphFont"/>
    <w:uiPriority w:val="9"/>
    <w:qFormat/>
    <w:rsid w:val="00b94a5d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Nagwek3Znak" w:customStyle="1">
    <w:name w:val="Nagłówek 3 Znak"/>
    <w:basedOn w:val="DefaultParagraphFont"/>
    <w:uiPriority w:val="9"/>
    <w:qFormat/>
    <w:rsid w:val="00b94a5d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Hipercze1" w:customStyle="1">
    <w:name w:val="Hiperłącze1"/>
    <w:qFormat/>
    <w:rPr>
      <w:color w:val="000080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1081f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qFormat/>
    <w:rsid w:val="004444d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kocowegoZnak1" w:customStyle="1">
    <w:name w:val="Tekst przypisu końcowego Znak1"/>
    <w:basedOn w:val="DefaultParagraphFont"/>
    <w:uiPriority w:val="99"/>
    <w:semiHidden/>
    <w:qFormat/>
    <w:rsid w:val="004444dd"/>
    <w:rPr>
      <w:rFonts w:ascii="Times New Roman" w:hAnsi="Times New Roman" w:cs="Times New Roman"/>
      <w:sz w:val="20"/>
      <w:szCs w:val="20"/>
    </w:rPr>
  </w:style>
  <w:style w:type="character" w:styleId="Nagwek1Znak" w:customStyle="1">
    <w:name w:val="Nagłówek 1 Znak"/>
    <w:basedOn w:val="DefaultParagraphFont"/>
    <w:uiPriority w:val="9"/>
    <w:qFormat/>
    <w:rsid w:val="00387a44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ascii="Arial" w:hAnsi="Arial"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de2682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styleId="Default" w:customStyle="1">
    <w:name w:val="Default"/>
    <w:qFormat/>
    <w:rsid w:val="00de2682"/>
    <w:pPr>
      <w:widowControl/>
      <w:suppressAutoHyphens w:val="true"/>
      <w:bidi w:val="0"/>
      <w:spacing w:before="0" w:after="0"/>
      <w:jc w:val="left"/>
    </w:pPr>
    <w:rPr>
      <w:rFonts w:ascii="Tahoma" w:hAnsi="Tahoma" w:eastAsia="Calibri" w:cs="Tahoma"/>
      <w:color w:val="000000"/>
      <w:kern w:val="0"/>
      <w:sz w:val="24"/>
      <w:szCs w:val="24"/>
      <w:lang w:val="pl-PL" w:eastAsia="en-US" w:bidi="ar-SA"/>
    </w:rPr>
  </w:style>
  <w:style w:type="paragraph" w:styleId="Stopka1" w:customStyle="1">
    <w:name w:val="Stopka1"/>
    <w:basedOn w:val="Normal"/>
    <w:link w:val="StopkaZnak"/>
    <w:uiPriority w:val="99"/>
    <w:unhideWhenUsed/>
    <w:qFormat/>
    <w:rsid w:val="00de2682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de2682"/>
    <w:pPr>
      <w:spacing w:before="0" w:after="160"/>
      <w:ind w:left="720"/>
      <w:contextualSpacing/>
    </w:pPr>
    <w:rPr/>
  </w:style>
  <w:style w:type="paragraph" w:styleId="Footer">
    <w:name w:val="Footer"/>
    <w:basedOn w:val="Normal"/>
    <w:link w:val="StopkaZnak1"/>
    <w:uiPriority w:val="99"/>
    <w:unhideWhenUsed/>
    <w:rsid w:val="00de2682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1081f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4106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EndnoteText">
    <w:name w:val="Endnote Text"/>
    <w:basedOn w:val="Normal"/>
    <w:link w:val="TekstprzypisukocowegoZnak"/>
    <w:rsid w:val="004444dd"/>
    <w:pPr>
      <w:widowControl/>
      <w:spacing w:lineRule="auto" w:line="240"/>
      <w:jc w:val="left"/>
    </w:pPr>
    <w:rPr>
      <w:rFonts w:eastAsia="Times New Roman"/>
      <w:sz w:val="20"/>
      <w:szCs w:val="20"/>
      <w:lang w:eastAsia="pl-PL"/>
    </w:rPr>
  </w:style>
  <w:style w:type="paragraph" w:styleId="Zawartotabeli" w:customStyle="1">
    <w:name w:val="Zawartość tabeli"/>
    <w:basedOn w:val="Normal"/>
    <w:qFormat/>
    <w:pPr>
      <w:suppressLineNumbers/>
      <w:spacing w:lineRule="auto" w:line="240"/>
    </w:pPr>
    <w:rPr>
      <w:rFonts w:eastAsia="MS Mincho"/>
      <w:sz w:val="20"/>
      <w:szCs w:val="20"/>
      <w:lang w:eastAsia="ar-SA"/>
    </w:rPr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e26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Application>LibreOffice/7.6.3.2$Windows_X86_64 LibreOffice_project/29d686fea9f6705b262d369fede658f824154cc0</Application>
  <AppVersion>15.0000</AppVersion>
  <Pages>12</Pages>
  <Words>2585</Words>
  <Characters>16923</Characters>
  <CharactersWithSpaces>19353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2021-08-16T11:17:00Z</dcterms:created>
  <dc:creator/>
  <dc:description/>
  <dc:language>pl-PL</dc:language>
  <cp:lastModifiedBy/>
  <cp:lastPrinted>2023-02-27T08:56:00Z</cp:lastPrinted>
  <dcterms:modified xsi:type="dcterms:W3CDTF">2024-07-19T08:35:04Z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