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E8E9" w14:textId="5C437F46" w:rsidR="00C267DC" w:rsidRPr="00C267DC" w:rsidRDefault="00C267DC" w:rsidP="00C267DC">
      <w:pPr>
        <w:rPr>
          <w:rFonts w:ascii="Calibri" w:eastAsia="Times New Roman" w:hAnsi="Calibri"/>
        </w:rPr>
      </w:pPr>
      <w:proofErr w:type="spellStart"/>
      <w:r>
        <w:rPr>
          <w:rFonts w:ascii="Calibri" w:hAnsi="Calibri"/>
        </w:rPr>
        <w:t>Białystok</w:t>
      </w:r>
      <w:proofErr w:type="spellEnd"/>
      <w:r>
        <w:rPr>
          <w:rFonts w:ascii="Calibri" w:hAnsi="Calibri"/>
        </w:rPr>
        <w:t xml:space="preserve">, </w:t>
      </w:r>
      <w:r w:rsidR="00DB11CF">
        <w:rPr>
          <w:rFonts w:ascii="Calibri" w:hAnsi="Calibri"/>
        </w:rPr>
        <w:t>20</w:t>
      </w:r>
      <w:r>
        <w:rPr>
          <w:rFonts w:ascii="Calibri" w:hAnsi="Calibri"/>
        </w:rPr>
        <w:t xml:space="preserve"> May 2025</w:t>
      </w:r>
    </w:p>
    <w:p w14:paraId="0E6BE633" w14:textId="66CBAD19" w:rsidR="00C267DC" w:rsidRPr="00C267DC" w:rsidRDefault="00C267DC" w:rsidP="00C267DC">
      <w:pPr>
        <w:spacing w:line="360" w:lineRule="auto"/>
        <w:rPr>
          <w:rFonts w:ascii="Calibri" w:eastAsia="Times New Roman" w:hAnsi="Calibri"/>
        </w:rPr>
      </w:pPr>
      <w:r>
        <w:rPr>
          <w:rFonts w:ascii="Calibri" w:hAnsi="Calibri"/>
          <w:b/>
          <w:bCs/>
        </w:rPr>
        <w:t>Subject of the order:</w:t>
      </w:r>
      <w:r w:rsidR="00C5338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Service of effective recruitment of students for the 6-year </w:t>
      </w:r>
      <w:r w:rsidR="00C53380">
        <w:rPr>
          <w:rFonts w:ascii="Calibri" w:hAnsi="Calibri"/>
        </w:rPr>
        <w:t xml:space="preserve">MD programme </w:t>
      </w:r>
      <w:r>
        <w:rPr>
          <w:rFonts w:ascii="Calibri" w:hAnsi="Calibri"/>
        </w:rPr>
        <w:t xml:space="preserve"> conducted in English at the Medical University of Bialystok according to the six-year programme in place in the European Union for the three subsequent academic years in the territory of Spain.</w:t>
      </w:r>
    </w:p>
    <w:p w14:paraId="5C6AE4CE" w14:textId="77777777" w:rsidR="00C267DC" w:rsidRPr="00C267DC" w:rsidRDefault="00C267DC" w:rsidP="00C267DC">
      <w:pPr>
        <w:rPr>
          <w:rFonts w:ascii="Calibri" w:eastAsia="Times New Roman" w:hAnsi="Calibri"/>
          <w:b/>
        </w:rPr>
      </w:pPr>
      <w:r>
        <w:rPr>
          <w:rFonts w:ascii="Calibri" w:hAnsi="Calibri"/>
          <w:b/>
        </w:rPr>
        <w:t>Number of the proceeding: AZP.25.2.1.2025</w:t>
      </w:r>
      <w:bookmarkStart w:id="0" w:name="_GoBack"/>
      <w:bookmarkEnd w:id="0"/>
    </w:p>
    <w:p w14:paraId="0BD8881C" w14:textId="77777777" w:rsidR="00676B11" w:rsidRPr="00676B11" w:rsidRDefault="00676B11" w:rsidP="00834DE4">
      <w:pPr>
        <w:spacing w:before="240" w:after="0" w:line="360" w:lineRule="auto"/>
        <w:rPr>
          <w:rFonts w:ascii="Calibri" w:eastAsia="Times New Roman" w:hAnsi="Calibri" w:cs="Calibri"/>
        </w:rPr>
      </w:pPr>
      <w:r>
        <w:rPr>
          <w:rFonts w:ascii="Calibri" w:hAnsi="Calibri"/>
          <w:b/>
        </w:rPr>
        <w:t xml:space="preserve">Ordering Party: </w:t>
      </w:r>
      <w:r>
        <w:rPr>
          <w:rFonts w:ascii="Calibri" w:hAnsi="Calibri"/>
          <w:b/>
          <w:bCs/>
        </w:rPr>
        <w:t>MEDICAL UNIVERSITY OF BIALYSTOK, ul.</w:t>
      </w:r>
      <w:r>
        <w:rPr>
          <w:rFonts w:ascii="Calibri" w:hAnsi="Calibri"/>
          <w:b/>
        </w:rPr>
        <w:t xml:space="preserve"> Jana Kilińskiego 1,  15– 089 Białystok</w:t>
      </w:r>
    </w:p>
    <w:p w14:paraId="34EB5671" w14:textId="77777777" w:rsidR="00C53380" w:rsidRDefault="00676B11" w:rsidP="00834DE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Website of the proceeding </w:t>
      </w:r>
      <w:r w:rsidR="00982F66">
        <w:rPr>
          <w:rFonts w:ascii="Calibri" w:hAnsi="Calibri"/>
          <w:b/>
          <w:color w:val="000000"/>
        </w:rPr>
        <w:t>organizer</w:t>
      </w:r>
    </w:p>
    <w:p w14:paraId="0CEA4269" w14:textId="5293F16D" w:rsidR="00676B11" w:rsidRPr="00C267DC" w:rsidRDefault="00FE7368" w:rsidP="00834DE4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ascii="Calibri" w:hAnsi="Calibri" w:cs="Calibri"/>
          <w:highlight w:val="yellow"/>
        </w:rPr>
      </w:pPr>
      <w:hyperlink r:id="rId7" w:history="1">
        <w:r w:rsidR="00676B11">
          <w:rPr>
            <w:rStyle w:val="Hipercze"/>
            <w:rFonts w:ascii="Calibri" w:hAnsi="Calibri"/>
            <w:b/>
          </w:rPr>
          <w:t>https://platformazakupowa.pl/transakcja/1043036</w:t>
        </w:r>
      </w:hyperlink>
      <w:r w:rsidR="00676B11">
        <w:rPr>
          <w:rFonts w:ascii="Calibri" w:hAnsi="Calibri"/>
          <w:b/>
          <w:color w:val="000000"/>
        </w:rPr>
        <w:t xml:space="preserve"> </w:t>
      </w:r>
    </w:p>
    <w:p w14:paraId="12027E61" w14:textId="77777777" w:rsidR="00B14FED" w:rsidRPr="00676B11" w:rsidRDefault="00B14FED" w:rsidP="00834DE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>Contractors participating in the proceeding</w:t>
      </w:r>
    </w:p>
    <w:p w14:paraId="04B7069D" w14:textId="634B14CD" w:rsidR="00C402CC" w:rsidRPr="00044114" w:rsidRDefault="009E4276" w:rsidP="00044114">
      <w:pPr>
        <w:pStyle w:val="Tytu"/>
      </w:pPr>
      <w:r>
        <w:t>INFORMA</w:t>
      </w:r>
      <w:r w:rsidR="00982F66">
        <w:t>TI</w:t>
      </w:r>
      <w:r>
        <w:t xml:space="preserve">ON ON THE PROCEEDING ANNULMENT </w:t>
      </w:r>
    </w:p>
    <w:p w14:paraId="7C85716D" w14:textId="43F91404" w:rsidR="00C402CC" w:rsidRDefault="00C402CC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Pursuant to Article 260 sec. 1 and 2 of the Act of 11 September 2019 on Public Procurement hereinafter referred to as: PZP, the Ordering Party hereby </w:t>
      </w:r>
      <w:r w:rsidR="00982F66">
        <w:rPr>
          <w:rFonts w:ascii="Calibri" w:hAnsi="Calibri"/>
        </w:rPr>
        <w:t>notifies</w:t>
      </w:r>
      <w:r>
        <w:rPr>
          <w:rFonts w:ascii="Calibri" w:hAnsi="Calibri"/>
        </w:rPr>
        <w:t xml:space="preserve"> all Contractors who submitted their offers and places information on </w:t>
      </w:r>
      <w:r w:rsidR="00982F66">
        <w:rPr>
          <w:rFonts w:ascii="Calibri" w:hAnsi="Calibri"/>
        </w:rPr>
        <w:t>annulling</w:t>
      </w:r>
      <w:r>
        <w:rPr>
          <w:rFonts w:ascii="Calibri" w:hAnsi="Calibri"/>
        </w:rPr>
        <w:t xml:space="preserve"> the proceeding on the website of the proceeding </w:t>
      </w:r>
      <w:r w:rsidR="00982F66">
        <w:rPr>
          <w:rFonts w:ascii="Calibri" w:hAnsi="Calibri"/>
        </w:rPr>
        <w:t>organizer</w:t>
      </w:r>
      <w:r>
        <w:rPr>
          <w:rFonts w:ascii="Calibri" w:hAnsi="Calibri"/>
        </w:rPr>
        <w:t>.</w:t>
      </w:r>
    </w:p>
    <w:p w14:paraId="265D4BE0" w14:textId="3F017212" w:rsidR="009E4276" w:rsidRDefault="009E4276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 w:rsidRPr="00982F66">
        <w:rPr>
          <w:rFonts w:ascii="Calibri" w:hAnsi="Calibri"/>
          <w:b/>
          <w:bCs/>
        </w:rPr>
        <w:t>Legal grounds for the proceeding annulment:</w:t>
      </w:r>
      <w:r>
        <w:rPr>
          <w:rFonts w:ascii="Calibri" w:hAnsi="Calibri"/>
        </w:rPr>
        <w:t xml:space="preserve"> Art. 255 clause 2 of PZP - the Ordering Party </w:t>
      </w:r>
      <w:r w:rsidR="00982F66">
        <w:rPr>
          <w:rFonts w:ascii="Calibri" w:hAnsi="Calibri"/>
        </w:rPr>
        <w:t xml:space="preserve">shall </w:t>
      </w:r>
      <w:r>
        <w:rPr>
          <w:rFonts w:ascii="Calibri" w:hAnsi="Calibri"/>
        </w:rPr>
        <w:t xml:space="preserve">annul the </w:t>
      </w:r>
      <w:r w:rsidR="00982F66">
        <w:rPr>
          <w:rFonts w:ascii="Calibri" w:hAnsi="Calibri"/>
        </w:rPr>
        <w:t>proceeding</w:t>
      </w:r>
      <w:r>
        <w:rPr>
          <w:rFonts w:ascii="Calibri" w:hAnsi="Calibri"/>
        </w:rPr>
        <w:t xml:space="preserve"> for granting the order should all submitted offers be subject to rejection.</w:t>
      </w:r>
    </w:p>
    <w:p w14:paraId="64348BCB" w14:textId="77777777" w:rsidR="009E4276" w:rsidRDefault="009E4276" w:rsidP="009E42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>
        <w:rPr>
          <w:rFonts w:ascii="Calibri" w:hAnsi="Calibri"/>
        </w:rPr>
        <w:t>Factual justification of the proceeding annulment: In the said proceeding two offers had been submitted which were subject to rejection:</w:t>
      </w:r>
      <w:r>
        <w:rPr>
          <w:rFonts w:ascii="Calibri" w:hAnsi="Calibri"/>
        </w:rPr>
        <w:br/>
      </w:r>
      <w:r>
        <w:rPr>
          <w:rFonts w:ascii="Calibri" w:hAnsi="Calibri"/>
          <w:b/>
        </w:rPr>
        <w:t xml:space="preserve">- </w:t>
      </w:r>
      <w:bookmarkStart w:id="1" w:name="_Hlk198539475"/>
      <w:r>
        <w:rPr>
          <w:rFonts w:ascii="Calibri" w:hAnsi="Calibri"/>
          <w:b/>
        </w:rPr>
        <w:t>Offer no. 1</w:t>
      </w:r>
      <w:r>
        <w:rPr>
          <w:rFonts w:ascii="Calibri" w:hAnsi="Calibri"/>
        </w:rPr>
        <w:t xml:space="preserve"> submitted by Medisinutdanning AS, v/Britt Tollefsen  Innspurten 10A, 0663 OSLO NORWAY,</w:t>
      </w:r>
      <w:bookmarkEnd w:id="1"/>
      <w:r>
        <w:rPr>
          <w:rFonts w:ascii="Calibri" w:hAnsi="Calibri"/>
        </w:rPr>
        <w:t xml:space="preserve"> rejected on the basis of Art. 226 sec. 1 clause 7 of PZP – The Ordering Party shall reject the offer should the offer be non-compliant with the order terms and conditions.</w:t>
      </w:r>
    </w:p>
    <w:p w14:paraId="4EE3C628" w14:textId="536E9496" w:rsidR="0079350A" w:rsidRPr="00676B11" w:rsidRDefault="00246A68" w:rsidP="007935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>
        <w:rPr>
          <w:rFonts w:ascii="Calibri" w:hAnsi="Calibri"/>
          <w:b/>
        </w:rPr>
        <w:t>- Offer no. 2</w:t>
      </w:r>
      <w:r>
        <w:rPr>
          <w:rFonts w:ascii="Calibri" w:hAnsi="Calibri"/>
        </w:rPr>
        <w:t xml:space="preserve"> submitted by</w:t>
      </w:r>
      <w:bookmarkStart w:id="2" w:name="_Hlk198538894"/>
      <w:r>
        <w:rPr>
          <w:rFonts w:ascii="Calibri" w:hAnsi="Calibri"/>
        </w:rPr>
        <w:t xml:space="preserve">: Medicina Por Europa S.L., Calle Mayor 21-23, 32600 Verin, Ourense, Spain registered in Spain, Company No. B42777920, VAT Payer Code: ESB42777920, </w:t>
      </w:r>
      <w:bookmarkEnd w:id="2"/>
      <w:r>
        <w:rPr>
          <w:rFonts w:ascii="Calibri" w:hAnsi="Calibri"/>
        </w:rPr>
        <w:t xml:space="preserve">rejected pursuant to </w:t>
      </w:r>
      <w:r w:rsidR="00982F66">
        <w:rPr>
          <w:rFonts w:ascii="Calibri" w:hAnsi="Calibri"/>
        </w:rPr>
        <w:t>A</w:t>
      </w:r>
      <w:r>
        <w:rPr>
          <w:rFonts w:ascii="Calibri" w:hAnsi="Calibri"/>
        </w:rPr>
        <w:t>rt. 226 sec. 1 clause 3 of PZP on account of non-compliance with Art. 63 of PZP.</w:t>
      </w:r>
    </w:p>
    <w:p w14:paraId="1335DD74" w14:textId="77777777" w:rsidR="009E4276" w:rsidRDefault="009E4276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</w:p>
    <w:p w14:paraId="147D545B" w14:textId="77777777" w:rsidR="008766BB" w:rsidRDefault="002C0A4E" w:rsidP="00954CF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/>
          <w:b/>
          <w:u w:val="single"/>
        </w:rPr>
        <w:t>INFORMATION ON CONTRACTORS WHOSE OFFERS WERE REJECTED:</w:t>
      </w:r>
    </w:p>
    <w:p w14:paraId="2719D6CA" w14:textId="77777777" w:rsidR="00EB40B2" w:rsidRPr="00246A68" w:rsidRDefault="00EB40B2" w:rsidP="00246A68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/>
        </w:rPr>
        <w:t xml:space="preserve">Offer no. 1 </w:t>
      </w:r>
      <w:r>
        <w:rPr>
          <w:rFonts w:ascii="Calibri" w:hAnsi="Calibri"/>
          <w:b/>
          <w:bCs/>
        </w:rPr>
        <w:t>submitted by Medisinutdanning AS, v/Britt Tollefsen  Innspurten 10A 0663 OSLO NORWAY</w:t>
      </w:r>
    </w:p>
    <w:p w14:paraId="2551D1E9" w14:textId="77777777" w:rsidR="00EB40B2" w:rsidRPr="00954CF9" w:rsidRDefault="00EB40B2" w:rsidP="00EB40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Legal basis of offer rejection:</w:t>
      </w:r>
      <w:r>
        <w:rPr>
          <w:rFonts w:ascii="Calibri" w:hAnsi="Calibri"/>
        </w:rPr>
        <w:t xml:space="preserve"> Art. 226 sec. 1 clause 7 of PZP - The Ordering Party shall reject the offer should the offer be non-compliant with the order terms and conditions. </w:t>
      </w:r>
    </w:p>
    <w:p w14:paraId="4EEE98E8" w14:textId="77777777" w:rsidR="00EB40B2" w:rsidRPr="0060321D" w:rsidRDefault="00EB40B2" w:rsidP="00EB40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Factual justification of the offer rejection: </w:t>
      </w:r>
    </w:p>
    <w:p w14:paraId="326CDE24" w14:textId="62347EB1" w:rsidR="00EB40B2" w:rsidRDefault="00EB40B2" w:rsidP="00954CF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/>
        </w:rPr>
        <w:t>The offer of the Contractor does not comply with</w:t>
      </w:r>
      <w:r w:rsidR="00982F6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conditions of the order since it was submitted in response to another order announcement, that is, the service of effective recruitment of students for the 6-year-long </w:t>
      </w:r>
      <w:r w:rsidR="001136E1">
        <w:rPr>
          <w:rFonts w:ascii="Calibri" w:hAnsi="Calibri"/>
        </w:rPr>
        <w:t>MD programme</w:t>
      </w:r>
      <w:r>
        <w:rPr>
          <w:rFonts w:ascii="Calibri" w:hAnsi="Calibri"/>
        </w:rPr>
        <w:t xml:space="preserve"> conducted in English at the Medical University in Białystok in line </w:t>
      </w:r>
      <w:r>
        <w:rPr>
          <w:rFonts w:ascii="Calibri" w:hAnsi="Calibri"/>
        </w:rPr>
        <w:lastRenderedPageBreak/>
        <w:t xml:space="preserve">with the 6-year-long programme binding in the European Union, for four subsequent academic years from the territory of: </w:t>
      </w:r>
      <w:r w:rsidR="00982F66">
        <w:rPr>
          <w:rFonts w:ascii="Calibri" w:hAnsi="Calibri"/>
          <w:b/>
        </w:rPr>
        <w:t>Norway</w:t>
      </w:r>
      <w:r>
        <w:rPr>
          <w:rFonts w:ascii="Calibri" w:hAnsi="Calibri"/>
          <w:b/>
        </w:rPr>
        <w:t>, Sweden, Finland, Denmark, Iceland.</w:t>
      </w:r>
    </w:p>
    <w:p w14:paraId="1592C719" w14:textId="77777777" w:rsidR="00EB40B2" w:rsidRPr="00EB40B2" w:rsidRDefault="00EB40B2" w:rsidP="00954CF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/>
        </w:rPr>
        <w:t>Moreover, it contained a qualified electronic stamp without the required qualified signature.</w:t>
      </w:r>
    </w:p>
    <w:p w14:paraId="3AECD084" w14:textId="77777777" w:rsidR="0079350A" w:rsidRPr="00246A68" w:rsidRDefault="00EB40B2" w:rsidP="00246A68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Offer 2 Medicina Por Europa S.L., Calle Mayor 21-23, 32600 Verin, Ourense, Spain registered in Spain, Company No. B42777920, VAT Payer Code: ESB42777920 </w:t>
      </w:r>
    </w:p>
    <w:p w14:paraId="2A0827E7" w14:textId="4ED4AE51" w:rsidR="002C0A4E" w:rsidRPr="0079350A" w:rsidRDefault="002C0A4E" w:rsidP="002C0A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>
        <w:t xml:space="preserve">Legal basis for offer rejection: Art. 226 sec. 1 clause 3 of PZP - The Ordering Party shall reject the offer should it be non-compliant with the provisions of the Act on account of incompliance with Art. 63 sec. 1 of PZP - in the proceeding for granting the order or the contest with the value equal to or exceeding the EU thresholds, offers, </w:t>
      </w:r>
      <w:r w:rsidR="00982F66">
        <w:t>application</w:t>
      </w:r>
      <w:r>
        <w:t xml:space="preserve"> forms for participation in the proceeding for granting the order or in the contest, the application form specified in Art. 371 sec. 3 and the statement specified in Art. 125 sec. 1 must be submitted, under the pain of nullity, in an electronic format.</w:t>
      </w:r>
    </w:p>
    <w:p w14:paraId="15EF9B7E" w14:textId="5705224A" w:rsidR="002C0A4E" w:rsidRPr="00954CF9" w:rsidRDefault="002C0A4E" w:rsidP="002C0A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>
        <w:rPr>
          <w:rFonts w:ascii="Calibri" w:hAnsi="Calibri"/>
        </w:rPr>
        <w:t>Factual justification of offer rejection: the Contractor’s offer does not comply with</w:t>
      </w:r>
      <w:r w:rsidR="00982F6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provisions of PZP since it was signed ec-ciutadania (Trusted Profile) instead of the qualified electronic signature. Even though both the above are electronic signatures, the Trusted Profile is a simplified form of an electronic signature and serves mainly the purpose of communication with public authorities whilst the qualified signature has a broader scope of </w:t>
      </w:r>
      <w:r w:rsidR="00982F66">
        <w:rPr>
          <w:rFonts w:ascii="Calibri" w:hAnsi="Calibri"/>
        </w:rPr>
        <w:t>application</w:t>
      </w:r>
      <w:r>
        <w:rPr>
          <w:rFonts w:ascii="Calibri" w:hAnsi="Calibri"/>
        </w:rPr>
        <w:t xml:space="preserve"> and is legally binding within the territory of the entire European Union. Art. 63 of PZP differentiates </w:t>
      </w:r>
      <w:r w:rsidR="00982F66">
        <w:rPr>
          <w:rFonts w:ascii="Calibri" w:hAnsi="Calibri"/>
        </w:rPr>
        <w:t>the</w:t>
      </w:r>
      <w:r>
        <w:rPr>
          <w:rFonts w:ascii="Calibri" w:hAnsi="Calibri"/>
        </w:rPr>
        <w:t xml:space="preserve"> formal requirements of the submitted offers in electronic proceedings for public tenders and so, in the proceedings with the value equal to or higher than the EU thresholds and </w:t>
      </w:r>
      <w:r w:rsidR="00982F66">
        <w:rPr>
          <w:rFonts w:ascii="Calibri" w:hAnsi="Calibri"/>
        </w:rPr>
        <w:t>applications</w:t>
      </w:r>
      <w:r>
        <w:rPr>
          <w:rFonts w:ascii="Calibri" w:hAnsi="Calibri"/>
        </w:rPr>
        <w:t xml:space="preserve"> initiating the proceeding and the initial </w:t>
      </w:r>
      <w:r w:rsidR="00982F66">
        <w:rPr>
          <w:rFonts w:ascii="Calibri" w:hAnsi="Calibri"/>
        </w:rPr>
        <w:t>statement</w:t>
      </w:r>
      <w:r>
        <w:rPr>
          <w:rFonts w:ascii="Calibri" w:hAnsi="Calibri"/>
        </w:rPr>
        <w:t xml:space="preserve"> submitted in the European Single Procurement Document form (ESPD) are submitted in an electronic format under the pain of nullity.</w:t>
      </w:r>
    </w:p>
    <w:p w14:paraId="242CEAB2" w14:textId="7A603B1A" w:rsidR="002C0A4E" w:rsidRPr="00954CF9" w:rsidRDefault="002C0A4E" w:rsidP="002C0A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In line with Art. 781 of the Civil Code, in order to maintain the electronic form of a legal action, one must submit a statement of will in an electronic form containing qualified electronic signature. It is thus obligatory to, first of all, submit a statement in an </w:t>
      </w:r>
      <w:r w:rsidR="00982F66">
        <w:rPr>
          <w:rFonts w:ascii="Calibri" w:hAnsi="Calibri"/>
        </w:rPr>
        <w:t>electronic</w:t>
      </w:r>
      <w:r>
        <w:rPr>
          <w:rFonts w:ascii="Calibri" w:hAnsi="Calibri"/>
        </w:rPr>
        <w:t xml:space="preserve"> form and, second of all, place a qualified electronic signature on this form.</w:t>
      </w:r>
    </w:p>
    <w:p w14:paraId="6A3471CC" w14:textId="1744C2FD" w:rsidR="002C0A4E" w:rsidRDefault="002C0A4E" w:rsidP="002C0A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To be valid, the offer in the proceedings with the value equal to or higher than the EU </w:t>
      </w:r>
      <w:r w:rsidR="00982F66">
        <w:rPr>
          <w:rFonts w:ascii="Calibri" w:hAnsi="Calibri"/>
        </w:rPr>
        <w:t>thresholds</w:t>
      </w:r>
      <w:r>
        <w:rPr>
          <w:rFonts w:ascii="Calibri" w:hAnsi="Calibri"/>
        </w:rPr>
        <w:t xml:space="preserve"> must therefore be elaborated in the form of a file signed by means of the qualified electronic signature.</w:t>
      </w:r>
    </w:p>
    <w:p w14:paraId="78FE95B8" w14:textId="77777777" w:rsidR="002C0A4E" w:rsidRPr="002C0A4E" w:rsidRDefault="0060321D" w:rsidP="0060321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>
        <w:rPr>
          <w:rFonts w:ascii="Calibri" w:hAnsi="Calibri"/>
        </w:rPr>
        <w:cr/>
      </w:r>
    </w:p>
    <w:p w14:paraId="59C2A249" w14:textId="77777777" w:rsidR="00203CB1" w:rsidRPr="00676B11" w:rsidRDefault="009A694D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On behalf of the Ordering Party </w:t>
      </w:r>
    </w:p>
    <w:p w14:paraId="1AD8C0D5" w14:textId="3714D4D8" w:rsidR="009A694D" w:rsidRPr="00F85773" w:rsidRDefault="00D40ADC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</w:rPr>
        <w:t>mgr</w:t>
      </w:r>
      <w:proofErr w:type="spellEnd"/>
      <w:r>
        <w:rPr>
          <w:rFonts w:ascii="Calibri" w:hAnsi="Calibri"/>
          <w:b/>
        </w:rPr>
        <w:t xml:space="preserve"> Konrad </w:t>
      </w:r>
      <w:proofErr w:type="spellStart"/>
      <w:r>
        <w:rPr>
          <w:rFonts w:ascii="Calibri" w:hAnsi="Calibri"/>
          <w:b/>
        </w:rPr>
        <w:t>Raczkowski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 xml:space="preserve">– </w:t>
      </w:r>
      <w:r w:rsidR="001136E1">
        <w:rPr>
          <w:rFonts w:ascii="Calibri" w:hAnsi="Calibri"/>
          <w:b/>
          <w:bCs/>
        </w:rPr>
        <w:t>MUB</w:t>
      </w:r>
      <w:r>
        <w:rPr>
          <w:rFonts w:ascii="Calibri" w:hAnsi="Calibri"/>
          <w:b/>
          <w:bCs/>
        </w:rPr>
        <w:t xml:space="preserve"> Chancellor </w:t>
      </w:r>
      <w:r w:rsidR="00F85773">
        <w:rPr>
          <w:rFonts w:ascii="Calibri" w:hAnsi="Calibri"/>
        </w:rPr>
        <w:t xml:space="preserve">/signature on the original </w:t>
      </w:r>
      <w:r>
        <w:rPr>
          <w:rFonts w:ascii="Calibri" w:hAnsi="Calibri"/>
        </w:rPr>
        <w:t>document/</w:t>
      </w:r>
      <w:r w:rsidR="00F85773">
        <w:rPr>
          <w:rFonts w:ascii="Calibri" w:hAnsi="Calibri"/>
        </w:rPr>
        <w:t xml:space="preserve"> </w:t>
      </w:r>
      <w:r>
        <w:rPr>
          <w:rFonts w:ascii="Calibri" w:hAnsi="Calibri"/>
        </w:rPr>
        <w:t>......................................................................</w:t>
      </w:r>
      <w:r>
        <w:rPr>
          <w:rFonts w:ascii="Calibri" w:hAnsi="Calibri"/>
          <w:b/>
        </w:rPr>
        <w:t xml:space="preserve"> </w:t>
      </w:r>
    </w:p>
    <w:sectPr w:rsidR="009A694D" w:rsidRPr="00F85773" w:rsidSect="000724BD">
      <w:headerReference w:type="default" r:id="rId8"/>
      <w:pgSz w:w="11905" w:h="16837"/>
      <w:pgMar w:top="1417" w:right="1417" w:bottom="709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ADC87" w14:textId="77777777" w:rsidR="00FE7368" w:rsidRDefault="00FE7368">
      <w:pPr>
        <w:spacing w:after="0" w:line="240" w:lineRule="auto"/>
      </w:pPr>
      <w:r>
        <w:separator/>
      </w:r>
    </w:p>
  </w:endnote>
  <w:endnote w:type="continuationSeparator" w:id="0">
    <w:p w14:paraId="49EDEA03" w14:textId="77777777" w:rsidR="00FE7368" w:rsidRDefault="00FE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6C0C" w14:textId="77777777" w:rsidR="00FE7368" w:rsidRDefault="00FE7368">
      <w:pPr>
        <w:spacing w:after="0" w:line="240" w:lineRule="auto"/>
      </w:pPr>
      <w:r>
        <w:separator/>
      </w:r>
    </w:p>
  </w:footnote>
  <w:footnote w:type="continuationSeparator" w:id="0">
    <w:p w14:paraId="4B14A5ED" w14:textId="77777777" w:rsidR="00FE7368" w:rsidRDefault="00FE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26E8" w14:textId="77777777"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B21173"/>
    <w:multiLevelType w:val="hybridMultilevel"/>
    <w:tmpl w:val="5BBA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53026D"/>
    <w:multiLevelType w:val="hybridMultilevel"/>
    <w:tmpl w:val="CC2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E4A8E"/>
    <w:multiLevelType w:val="hybridMultilevel"/>
    <w:tmpl w:val="D7D6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06"/>
    <w:rsid w:val="00044114"/>
    <w:rsid w:val="00047656"/>
    <w:rsid w:val="00063005"/>
    <w:rsid w:val="00067DDF"/>
    <w:rsid w:val="000724BD"/>
    <w:rsid w:val="000A63F2"/>
    <w:rsid w:val="000A6897"/>
    <w:rsid w:val="000F2DED"/>
    <w:rsid w:val="001136E1"/>
    <w:rsid w:val="00114E90"/>
    <w:rsid w:val="00122D6A"/>
    <w:rsid w:val="00131775"/>
    <w:rsid w:val="00135260"/>
    <w:rsid w:val="00166107"/>
    <w:rsid w:val="00167914"/>
    <w:rsid w:val="001704BD"/>
    <w:rsid w:val="001955D7"/>
    <w:rsid w:val="00197DED"/>
    <w:rsid w:val="001B3BCC"/>
    <w:rsid w:val="001C2706"/>
    <w:rsid w:val="001D605F"/>
    <w:rsid w:val="00200C56"/>
    <w:rsid w:val="00203CB1"/>
    <w:rsid w:val="00203E34"/>
    <w:rsid w:val="002072E3"/>
    <w:rsid w:val="00210A99"/>
    <w:rsid w:val="002214A1"/>
    <w:rsid w:val="00244C28"/>
    <w:rsid w:val="00246A68"/>
    <w:rsid w:val="00256D6F"/>
    <w:rsid w:val="00291EEB"/>
    <w:rsid w:val="002A0A03"/>
    <w:rsid w:val="002A7F16"/>
    <w:rsid w:val="002C0A4E"/>
    <w:rsid w:val="002E11DA"/>
    <w:rsid w:val="002E4F48"/>
    <w:rsid w:val="00314BF2"/>
    <w:rsid w:val="00324C5B"/>
    <w:rsid w:val="003620CD"/>
    <w:rsid w:val="003864D0"/>
    <w:rsid w:val="003B5463"/>
    <w:rsid w:val="003D5010"/>
    <w:rsid w:val="003D6E37"/>
    <w:rsid w:val="003E4AE9"/>
    <w:rsid w:val="004105E5"/>
    <w:rsid w:val="00412613"/>
    <w:rsid w:val="00421A3C"/>
    <w:rsid w:val="00425E59"/>
    <w:rsid w:val="004403D7"/>
    <w:rsid w:val="00446C74"/>
    <w:rsid w:val="004506BC"/>
    <w:rsid w:val="00467AF2"/>
    <w:rsid w:val="004870C0"/>
    <w:rsid w:val="00487A57"/>
    <w:rsid w:val="004C7FF1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C7050"/>
    <w:rsid w:val="005D341C"/>
    <w:rsid w:val="005D57B1"/>
    <w:rsid w:val="005D597D"/>
    <w:rsid w:val="005E18CC"/>
    <w:rsid w:val="0060321D"/>
    <w:rsid w:val="0061331A"/>
    <w:rsid w:val="006477C8"/>
    <w:rsid w:val="00676B11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350A"/>
    <w:rsid w:val="007954DE"/>
    <w:rsid w:val="0079735E"/>
    <w:rsid w:val="007B773F"/>
    <w:rsid w:val="007C233D"/>
    <w:rsid w:val="007C74EB"/>
    <w:rsid w:val="007D3390"/>
    <w:rsid w:val="007D73C7"/>
    <w:rsid w:val="008265C5"/>
    <w:rsid w:val="008324A0"/>
    <w:rsid w:val="00832A33"/>
    <w:rsid w:val="00834DE4"/>
    <w:rsid w:val="00835D0C"/>
    <w:rsid w:val="008371CD"/>
    <w:rsid w:val="0084506F"/>
    <w:rsid w:val="008766BB"/>
    <w:rsid w:val="008B19A9"/>
    <w:rsid w:val="008D45B0"/>
    <w:rsid w:val="008E073A"/>
    <w:rsid w:val="008E26D6"/>
    <w:rsid w:val="009213C8"/>
    <w:rsid w:val="00922BE3"/>
    <w:rsid w:val="0093157D"/>
    <w:rsid w:val="00942C42"/>
    <w:rsid w:val="00943F58"/>
    <w:rsid w:val="009451FF"/>
    <w:rsid w:val="009514F0"/>
    <w:rsid w:val="00954CF9"/>
    <w:rsid w:val="00973713"/>
    <w:rsid w:val="00982F66"/>
    <w:rsid w:val="00987387"/>
    <w:rsid w:val="009A694D"/>
    <w:rsid w:val="009C5B0D"/>
    <w:rsid w:val="009E4276"/>
    <w:rsid w:val="00A04757"/>
    <w:rsid w:val="00A2212F"/>
    <w:rsid w:val="00A2777A"/>
    <w:rsid w:val="00A3189B"/>
    <w:rsid w:val="00A43AA6"/>
    <w:rsid w:val="00A567DB"/>
    <w:rsid w:val="00A65EBB"/>
    <w:rsid w:val="00A7175F"/>
    <w:rsid w:val="00A71828"/>
    <w:rsid w:val="00A7381E"/>
    <w:rsid w:val="00AA521F"/>
    <w:rsid w:val="00AB10C0"/>
    <w:rsid w:val="00AE7B81"/>
    <w:rsid w:val="00AF0C26"/>
    <w:rsid w:val="00B00C97"/>
    <w:rsid w:val="00B14FED"/>
    <w:rsid w:val="00B3008F"/>
    <w:rsid w:val="00B432E1"/>
    <w:rsid w:val="00B55D10"/>
    <w:rsid w:val="00B6445C"/>
    <w:rsid w:val="00B679AF"/>
    <w:rsid w:val="00B71D13"/>
    <w:rsid w:val="00B75D0D"/>
    <w:rsid w:val="00B806CE"/>
    <w:rsid w:val="00BA315E"/>
    <w:rsid w:val="00BB0DCA"/>
    <w:rsid w:val="00BD397B"/>
    <w:rsid w:val="00BD5C93"/>
    <w:rsid w:val="00BD662D"/>
    <w:rsid w:val="00BE3109"/>
    <w:rsid w:val="00BE3AD0"/>
    <w:rsid w:val="00C022EA"/>
    <w:rsid w:val="00C267DC"/>
    <w:rsid w:val="00C31531"/>
    <w:rsid w:val="00C34A9B"/>
    <w:rsid w:val="00C37C07"/>
    <w:rsid w:val="00C402CC"/>
    <w:rsid w:val="00C47319"/>
    <w:rsid w:val="00C53380"/>
    <w:rsid w:val="00C55DA5"/>
    <w:rsid w:val="00C65D2A"/>
    <w:rsid w:val="00C674E0"/>
    <w:rsid w:val="00C8364E"/>
    <w:rsid w:val="00C872BA"/>
    <w:rsid w:val="00C87F73"/>
    <w:rsid w:val="00CA0FDF"/>
    <w:rsid w:val="00CB35C0"/>
    <w:rsid w:val="00CE4A91"/>
    <w:rsid w:val="00D04058"/>
    <w:rsid w:val="00D11606"/>
    <w:rsid w:val="00D13F93"/>
    <w:rsid w:val="00D1753A"/>
    <w:rsid w:val="00D33564"/>
    <w:rsid w:val="00D40ADC"/>
    <w:rsid w:val="00D427D4"/>
    <w:rsid w:val="00D56018"/>
    <w:rsid w:val="00D83FEF"/>
    <w:rsid w:val="00DA0A02"/>
    <w:rsid w:val="00DA0B2E"/>
    <w:rsid w:val="00DB11CF"/>
    <w:rsid w:val="00DB2EB8"/>
    <w:rsid w:val="00DC02DF"/>
    <w:rsid w:val="00E22C22"/>
    <w:rsid w:val="00E5628B"/>
    <w:rsid w:val="00E63AA8"/>
    <w:rsid w:val="00E739D4"/>
    <w:rsid w:val="00EB40B2"/>
    <w:rsid w:val="00EE00B2"/>
    <w:rsid w:val="00EF6D6B"/>
    <w:rsid w:val="00F06AE4"/>
    <w:rsid w:val="00F1580F"/>
    <w:rsid w:val="00F573D8"/>
    <w:rsid w:val="00F6367D"/>
    <w:rsid w:val="00F85773"/>
    <w:rsid w:val="00F93688"/>
    <w:rsid w:val="00F9373D"/>
    <w:rsid w:val="00FD0B72"/>
    <w:rsid w:val="00FD2533"/>
    <w:rsid w:val="00FD37D8"/>
    <w:rsid w:val="00FE5E57"/>
    <w:rsid w:val="00FE736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D8810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44114"/>
    <w:pPr>
      <w:spacing w:after="0" w:line="360" w:lineRule="auto"/>
    </w:pPr>
    <w:rPr>
      <w:rFonts w:ascii="Calibri" w:hAnsi="Calibri" w:cs="Calibri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044114"/>
    <w:rPr>
      <w:rFonts w:ascii="Calibri" w:hAnsi="Calibri" w:cs="Calibri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43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41</cp:revision>
  <cp:lastPrinted>2025-05-19T08:04:00Z</cp:lastPrinted>
  <dcterms:created xsi:type="dcterms:W3CDTF">2024-03-06T08:28:00Z</dcterms:created>
  <dcterms:modified xsi:type="dcterms:W3CDTF">2025-05-20T07:56:00Z</dcterms:modified>
</cp:coreProperties>
</file>