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  <w:t xml:space="preserve">Opole, dnia 19 listopada</w:t>
      </w:r>
      <w:r>
        <w:rPr>
          <w:rFonts w:ascii="Times New Roman" w:hAnsi="Times New Roman" w:eastAsia="Times New Roman" w:cs="Times New Roman"/>
          <w:sz w:val="24"/>
        </w:rPr>
        <w:t xml:space="preserve"> 202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4"/>
        </w:rPr>
        <w:t xml:space="preserve">4</w:t>
      </w:r>
      <w:r>
        <w:rPr>
          <w:rFonts w:ascii="Times New Roman" w:hAnsi="Times New Roman" w:eastAsia="Times New Roman" w:cs="Times New Roman"/>
          <w:sz w:val="24"/>
        </w:rPr>
        <w:t xml:space="preserve"> r.</w:t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SPECYFIKACJA TECHNICZNA:</w:t>
      </w:r>
      <w:r>
        <w:rPr>
          <w:rFonts w:ascii="Times New Roman" w:hAnsi="Times New Roman" w:eastAsia="Times New Roman" w:cs="Times New Roman"/>
          <w:i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</w:p>
    <w:p>
      <w:pPr>
        <w:pBdr/>
        <w:spacing w:after="0"/>
        <w:ind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highlight w:val="none"/>
          <w:u w:val="single"/>
        </w:rPr>
        <w:t xml:space="preserve">Tester okablowania MicroScanner2 Pro Kit (Fluke Networks MS2-KIT</w:t>
      </w:r>
      <w:r>
        <w:rPr>
          <w:rFonts w:ascii="Times New Roman" w:hAnsi="Times New Roman" w:eastAsia="Times New Roman" w:cs="Times New Roman"/>
          <w:b/>
          <w:sz w:val="24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</w:p>
    <w:p>
      <w:pPr>
        <w:pBdr/>
        <w:spacing w:after="0"/>
        <w:ind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40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MicroScanner² Pro; Wyświetlacz: LCD, 1.75" x 0.85";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Rodzaj testowanego okablowania: UTP, STP, FTP, RG59, RG9, CCTV;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Test parametrów okablowania: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Identyfikacja rodzaju transmisji: Half Duplex, Full Duplex;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Identyfikacja podłączonego urządzenia: koncent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rator, karta sieciowa;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Identyfikacja prędkości transmisji: 10 Mbps, 100 Mbps, 1000 Mbps;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Pomiar długości okablowania: 0,5 - 460 m;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Pomiar odległości do uszkodzenia: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Praca w aktywnej sieci: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Test ciągłości: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Test mapy połączeń: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Diagnoza us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terek okablowania: przerwa, zwarcie, pary rozdzielone, pary skrzyżowane, pary odwrócone;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Praca w aktywnej sieci: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Generowanie tonów: ton cyfrowy (500 KHz), tony analogowe (400 Hz / 1 KHz);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Detekcja zasilania PoE: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Wymiary: 163x76x36 mm;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Gwarancja: 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12 miesięcy;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Producent: Fluke Networks; IntelliTone 200 Probe;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Test pojedynczych par: tak;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Właściwości: lokalizacja kabli z dużej odległości, precyzyjne wyszukiwanie pojedynczych par w wiązkach kablowych; 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Dopuszczalna temperatura pracy: 0°C ÷ 40°C;</w:t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p>
      <w:pPr>
        <w:pBdr/>
        <w:spacing w:after="0"/>
        <w:ind/>
        <w:jc w:val="left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 Dopuszc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zalna wilgotność otoczenia: 5% ÷ 95%, niekondensująca</w:t>
      </w: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6</cp:revision>
  <dcterms:created xsi:type="dcterms:W3CDTF">2024-03-27T13:54:00Z</dcterms:created>
  <dcterms:modified xsi:type="dcterms:W3CDTF">2024-11-19T12:34:41Z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