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B22D" w14:textId="397FD670" w:rsidR="00360E68" w:rsidRPr="004F4DA6" w:rsidRDefault="00360E68" w:rsidP="00B47327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B47327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511390CC" w:rsidR="00360E68" w:rsidRPr="004F4DA6" w:rsidRDefault="00360E68" w:rsidP="00B47327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B6611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B4732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5.25</w:t>
      </w:r>
    </w:p>
    <w:p w14:paraId="77DBA451" w14:textId="086D9339" w:rsidR="00360E68" w:rsidRPr="004F4DA6" w:rsidRDefault="00360E68" w:rsidP="00B47327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B4732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6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B47327">
      <w:pPr>
        <w:spacing w:after="120" w:line="240" w:lineRule="auto"/>
        <w:ind w:left="367"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B47327">
      <w:pPr>
        <w:spacing w:after="120" w:line="240" w:lineRule="auto"/>
        <w:ind w:left="0" w:right="361" w:firstLine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76AAD8B9" w:rsidR="00407351" w:rsidRPr="004F4DA6" w:rsidRDefault="00C6383F" w:rsidP="00B47327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B47327">
        <w:rPr>
          <w:rFonts w:asciiTheme="minorHAnsi" w:hAnsiTheme="minorHAnsi" w:cstheme="minorHAnsi"/>
          <w:b/>
          <w:iCs/>
          <w:color w:val="auto"/>
          <w:sz w:val="24"/>
          <w:szCs w:val="24"/>
        </w:rPr>
        <w:t>5</w:t>
      </w:r>
    </w:p>
    <w:p w14:paraId="0AD2F7B0" w14:textId="494CB0B8" w:rsidR="005A2C00" w:rsidRPr="004F4DA6" w:rsidRDefault="005A2C00" w:rsidP="00B47327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(wzór dla Pakietu </w:t>
      </w:r>
      <w:r w:rsidR="00B47327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77E2B2F1" w:rsidR="00407351" w:rsidRPr="004F4DA6" w:rsidRDefault="00C6383F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B47327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13945ED4" w:rsidR="00883335" w:rsidRPr="004F4DA6" w:rsidRDefault="00883335" w:rsidP="00B47327">
      <w:pPr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B47327">
        <w:rPr>
          <w:rFonts w:asciiTheme="minorHAnsi" w:hAnsiTheme="minorHAnsi" w:cstheme="minorHAnsi"/>
          <w:iCs/>
          <w:sz w:val="24"/>
          <w:szCs w:val="24"/>
        </w:rPr>
        <w:t>5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B47327">
      <w:pPr>
        <w:spacing w:after="120" w:line="240" w:lineRule="auto"/>
        <w:ind w:left="-5" w:right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B47327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1E8A2686" w:rsidR="002C1E25" w:rsidRPr="004F4DA6" w:rsidRDefault="002C1E25" w:rsidP="00B47327">
      <w:pPr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medyczn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>ego</w:t>
      </w:r>
      <w:r w:rsidR="00333D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tj.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łóżek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szaf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 przyłóżkowy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>ch i materacy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medyczn</w:t>
      </w:r>
      <w:r w:rsidR="00D52386">
        <w:rPr>
          <w:rFonts w:asciiTheme="minorHAnsi" w:hAnsiTheme="minorHAnsi" w:cstheme="minorHAnsi"/>
          <w:iCs/>
          <w:color w:val="auto"/>
          <w:sz w:val="24"/>
          <w:szCs w:val="24"/>
        </w:rPr>
        <w:t>ego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0DCBF6EC" w:rsidR="002C1E25" w:rsidRPr="004F4DA6" w:rsidRDefault="00277DB2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w szczególności załącznik</w:t>
      </w:r>
      <w:r w:rsidR="00402F19">
        <w:rPr>
          <w:rFonts w:asciiTheme="minorHAnsi" w:hAnsiTheme="minorHAnsi" w:cstheme="minorHAnsi"/>
          <w:iCs/>
          <w:color w:val="auto"/>
          <w:sz w:val="24"/>
          <w:szCs w:val="24"/>
        </w:rPr>
        <w:t>ów: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53206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402F19" w:rsidRPr="00402F19">
        <w:rPr>
          <w:rFonts w:asciiTheme="minorHAnsi" w:hAnsiTheme="minorHAnsi" w:cstheme="minorHAnsi"/>
          <w:iCs/>
          <w:color w:val="auto"/>
          <w:sz w:val="24"/>
          <w:szCs w:val="24"/>
        </w:rPr>
        <w:t>Ogólna specyfikacja techniczna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wykonania i odbioru</w:t>
      </w:r>
      <w:r w:rsidR="00E5320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robót”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E53206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zczegółowa specyfikacja techniczna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- c</w:t>
      </w:r>
      <w:r w:rsidR="002163A5">
        <w:rPr>
          <w:rFonts w:asciiTheme="minorHAnsi" w:hAnsiTheme="minorHAnsi" w:cstheme="minorHAnsi"/>
          <w:iCs/>
          <w:color w:val="auto"/>
          <w:sz w:val="24"/>
          <w:szCs w:val="24"/>
        </w:rPr>
        <w:t>zęść III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– </w:t>
      </w:r>
      <w:r w:rsidR="00437B55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wyposażenie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medyczne</w:t>
      </w:r>
      <w:r w:rsidR="00E53206">
        <w:rPr>
          <w:rFonts w:asciiTheme="minorHAnsi" w:hAnsiTheme="minorHAnsi" w:cstheme="minorHAnsi"/>
          <w:iCs/>
          <w:color w:val="auto"/>
          <w:sz w:val="24"/>
          <w:szCs w:val="24"/>
        </w:rPr>
        <w:t>”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B47327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244DE618" w:rsidR="008414FE" w:rsidRDefault="0063146E" w:rsidP="00B47327">
      <w:pPr>
        <w:spacing w:after="120" w:line="240" w:lineRule="auto"/>
        <w:ind w:left="0" w:right="0" w:firstLine="0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4B6AE145" w:rsidR="003B79CA" w:rsidRPr="004F4DA6" w:rsidRDefault="008414FE" w:rsidP="00B47327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645089" w:rsidRP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5541583A" w:rsidR="00407351" w:rsidRPr="004F4DA6" w:rsidRDefault="00C6383F" w:rsidP="00B4732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</w:p>
    <w:p w14:paraId="2848917E" w14:textId="77777777" w:rsidR="00A165C9" w:rsidRPr="004F4DA6" w:rsidRDefault="003B79CA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6FF67EF2" w:rsidR="00BA67B7" w:rsidRPr="004F4DA6" w:rsidRDefault="00FC345E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 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B47327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281714D5" w14:textId="0B09E333" w:rsidR="00FC345E" w:rsidRPr="004F4DA6" w:rsidRDefault="00731224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zawarciu umowy Wykonawca niezwłocznie, nie później jednak niż w terminie 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roboczych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uzgodni z Zamawiającym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wszystkie istotne elementy i detale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0718CC">
        <w:rPr>
          <w:rFonts w:asciiTheme="minorHAnsi" w:hAnsiTheme="minorHAnsi" w:cstheme="minorHAnsi"/>
          <w:iCs/>
          <w:color w:val="auto"/>
          <w:sz w:val="24"/>
          <w:szCs w:val="24"/>
        </w:rPr>
        <w:t>, w tym między innymi kolorystyka poszczególnych elementów Wyposażenia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03685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powyższych czynności sporządz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ony zostanie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protok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ół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uzgodnień podpis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any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przedstawicieli Stron.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 zgodą Zamawiającego dokonanie uzgodnie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ń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nastąpić w formie korespondencji elektronicznej, na następujące adresy Stron: </w:t>
      </w:r>
    </w:p>
    <w:p w14:paraId="1886F8BD" w14:textId="77777777" w:rsidR="00FC345E" w:rsidRPr="004F4DA6" w:rsidRDefault="00FC345E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Zamawiający: jacek.adamski@babinski.pl </w:t>
      </w:r>
    </w:p>
    <w:p w14:paraId="0D011779" w14:textId="77777777" w:rsidR="00FC345E" w:rsidRPr="004F4DA6" w:rsidRDefault="00FC345E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Wykonawca: ……………………………………..</w:t>
      </w:r>
    </w:p>
    <w:p w14:paraId="56AFD195" w14:textId="3F267B74" w:rsidR="00FC345E" w:rsidRPr="004F4DA6" w:rsidRDefault="0003685C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B47327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636CF1C2" w:rsidR="000835F4" w:rsidRPr="004F4DA6" w:rsidRDefault="003F0550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bookmarkStart w:id="0" w:name="_Hlk199742178"/>
      <w:r w:rsidR="00041AA5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8A73CA">
        <w:rPr>
          <w:rFonts w:asciiTheme="minorHAnsi" w:hAnsiTheme="minorHAnsi" w:cstheme="minorHAnsi"/>
          <w:iCs/>
          <w:color w:val="auto"/>
          <w:sz w:val="24"/>
          <w:szCs w:val="24"/>
        </w:rPr>
        <w:t>35</w:t>
      </w:r>
      <w:r w:rsidR="00D62F9D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A16A6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041AA5" w:rsidRPr="00A16A6C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bookmarkEnd w:id="0"/>
    </w:p>
    <w:p w14:paraId="1CC6A6B0" w14:textId="11555C6E" w:rsidR="002C2270" w:rsidRPr="004F4DA6" w:rsidRDefault="002C2270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B47327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B47327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B47327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B47327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7F06360D" w:rsidR="00A54DAC" w:rsidRPr="004F4DA6" w:rsidRDefault="00A54DAC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B47327">
      <w:pPr>
        <w:pStyle w:val="Default"/>
        <w:spacing w:after="120"/>
        <w:jc w:val="both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</w:t>
      </w:r>
      <w:r w:rsidRPr="004F4DA6">
        <w:rPr>
          <w:rFonts w:asciiTheme="minorHAnsi" w:hAnsiTheme="minorHAnsi" w:cstheme="minorHAnsi"/>
          <w:iCs/>
          <w:color w:val="auto"/>
        </w:rPr>
        <w:lastRenderedPageBreak/>
        <w:t xml:space="preserve">udzielania wyjaśnień i informacji w tym zakresie jest Pani Barbara Dobrowolska – tel. 012 65 24 365. </w:t>
      </w:r>
    </w:p>
    <w:p w14:paraId="25835C10" w14:textId="65A24EC2" w:rsidR="00EB04A2" w:rsidRPr="00990E1C" w:rsidRDefault="00C6383F" w:rsidP="00B47327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3FCF4EDE" w14:textId="6C66B694" w:rsidR="00E53206" w:rsidRDefault="008D370E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d) </w:t>
      </w:r>
      <w:r w:rsidR="00E53206" w:rsidRPr="00E5320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gotowe do ustawienia, tj. meble złożone i skręcone (kompletne), wymagające jedynie ich właściwego ustawienia oraz wypoziomowania,</w:t>
      </w:r>
    </w:p>
    <w:p w14:paraId="5A8964D7" w14:textId="28FDF844" w:rsidR="00EC0497" w:rsidRPr="004F4DA6" w:rsidRDefault="00E5320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13347A6D" w:rsidR="00411CA8" w:rsidRPr="004F4DA6" w:rsidRDefault="00E5320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f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1B09E728" w:rsidR="00407351" w:rsidRPr="004F4DA6" w:rsidRDefault="00E5320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g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44C6F492" w:rsidR="00055EE7" w:rsidRPr="004F4DA6" w:rsidRDefault="008511F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1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2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1"/>
    <w:p w14:paraId="0ABDBD91" w14:textId="077E0D9B" w:rsidR="00407351" w:rsidRPr="004F4DA6" w:rsidRDefault="007271F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B47327">
      <w:pPr>
        <w:pStyle w:val="Tytu"/>
      </w:pPr>
      <w:bookmarkStart w:id="3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B47327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B47327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B47327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B47327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3"/>
      <w:r w:rsidR="00647DE5" w:rsidRPr="00990E1C">
        <w:t>Okres rękojmi i gwarancji</w:t>
      </w:r>
    </w:p>
    <w:p w14:paraId="1810A9EA" w14:textId="5D2F639F" w:rsidR="00543DBC" w:rsidRPr="004F4DA6" w:rsidRDefault="005F15AD" w:rsidP="00B47327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B47327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B47327">
      <w:pPr>
        <w:suppressAutoHyphens/>
        <w:spacing w:after="120" w:line="24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B47327">
      <w:pPr>
        <w:suppressAutoHyphens/>
        <w:spacing w:after="120" w:line="240" w:lineRule="auto"/>
        <w:ind w:left="0" w:right="0" w:firstLine="0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B47327">
      <w:pPr>
        <w:suppressAutoHyphens/>
        <w:spacing w:after="120" w:line="240" w:lineRule="auto"/>
        <w:ind w:left="0" w:right="0" w:firstLine="0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B47327">
      <w:pPr>
        <w:suppressAutoHyphens/>
        <w:autoSpaceDE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B47327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B47327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B47327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BA16E4A" w:rsidR="007118AF" w:rsidRPr="004F4DA6" w:rsidRDefault="00DE7513" w:rsidP="00B47327">
      <w:pPr>
        <w:autoSpaceDE w:val="0"/>
        <w:autoSpaceDN w:val="0"/>
        <w:adjustRightInd w:val="0"/>
        <w:spacing w:after="120" w:line="240" w:lineRule="auto"/>
        <w:ind w:right="0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rzedmiot umowy w sposób niezgodny z warunkami niniejszej umowy, tj.: </w:t>
      </w:r>
    </w:p>
    <w:p w14:paraId="373CE9E9" w14:textId="7FC15A03" w:rsidR="007118AF" w:rsidRPr="004F4DA6" w:rsidRDefault="007118AF" w:rsidP="00B47327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B47327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B47327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B47327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155DDF44" w:rsidR="00DE7513" w:rsidRPr="004F4DA6" w:rsidRDefault="00DE7513" w:rsidP="00B47327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B47327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)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B47327">
      <w:pPr>
        <w:autoSpaceDE w:val="0"/>
        <w:autoSpaceDN w:val="0"/>
        <w:adjustRightInd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4D4AEEF9" w:rsidR="00D07A7A" w:rsidRPr="00990E1C" w:rsidRDefault="00EB04A2" w:rsidP="00B47327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>Podwykonawstwo</w:t>
      </w:r>
    </w:p>
    <w:p w14:paraId="555C334C" w14:textId="4EBE93EF" w:rsidR="00D07A7A" w:rsidRPr="004F4DA6" w:rsidRDefault="00D07A7A" w:rsidP="00B47327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(zastosowanie zapisów niniejszego paragrafu uzależnione jest od deklaracji Wykonawcy)</w:t>
      </w:r>
    </w:p>
    <w:p w14:paraId="4D28DFB9" w14:textId="31B97C24" w:rsidR="00D07A7A" w:rsidRPr="004F4DA6" w:rsidRDefault="00D07A7A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B473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B47327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B47327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B47327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B47327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B47327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ac)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B47327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003E0AA0" w:rsidR="003C0904" w:rsidRDefault="003C0904" w:rsidP="00B47327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ae)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mi trwającymi na I</w:t>
      </w:r>
      <w:r w:rsidR="00B47327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I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B47327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B47327">
      <w:pPr>
        <w:autoSpaceDE w:val="0"/>
        <w:spacing w:after="120" w:line="240" w:lineRule="auto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B47327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B47327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B47327">
      <w:pPr>
        <w:autoSpaceDE w:val="0"/>
        <w:spacing w:after="120" w:line="240" w:lineRule="auto"/>
        <w:ind w:left="915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>bądź</w:t>
      </w:r>
    </w:p>
    <w:p w14:paraId="16229015" w14:textId="219554B0" w:rsidR="007118AF" w:rsidRPr="004F4DA6" w:rsidRDefault="007118AF" w:rsidP="00B47327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B47327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B47327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B47327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B47327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B47327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B47327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B47327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B47327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B47327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672A4496" w:rsidR="00407351" w:rsidRPr="004F4DA6" w:rsidRDefault="00AF79A3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odstąpienia od umowy przez Zamawiającego Wykonawca zapłaci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Zamawiającemu karę umowną określoną w § 8 ust.1 lit. d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B47327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B47327">
      <w:pPr>
        <w:pStyle w:val="Tytu"/>
      </w:pPr>
      <w:bookmarkStart w:id="4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4"/>
      <w:r w:rsidR="00FE200A" w:rsidRPr="00990E1C">
        <w:t>Rozwiązywanie sporów</w:t>
      </w:r>
    </w:p>
    <w:p w14:paraId="6351A559" w14:textId="0C13C3BE" w:rsidR="00407351" w:rsidRPr="004F4DA6" w:rsidRDefault="00AF79A3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B47327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B47327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B47327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B47327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B47327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B47327">
      <w:pPr>
        <w:spacing w:after="120" w:line="240" w:lineRule="auto"/>
        <w:ind w:left="-15" w:right="48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B47327">
      <w:pPr>
        <w:spacing w:after="120" w:line="240" w:lineRule="auto"/>
        <w:ind w:left="-15" w:right="-94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04B4AF38" w14:textId="2648FF40" w:rsidR="000718CC" w:rsidRDefault="00967F74" w:rsidP="00B47327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B47327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0718CC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</w:p>
    <w:p w14:paraId="22685044" w14:textId="63864B28" w:rsidR="00532092" w:rsidRPr="004F4DA6" w:rsidRDefault="000718CC" w:rsidP="00B47327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0718CC">
        <w:rPr>
          <w:rFonts w:asciiTheme="minorHAnsi" w:hAnsiTheme="minorHAnsi" w:cstheme="minorHAnsi"/>
          <w:iCs/>
          <w:color w:val="auto"/>
          <w:sz w:val="24"/>
          <w:szCs w:val="24"/>
        </w:rPr>
        <w:t>- Załącznik nr 2 – Klauzula informacyjna (</w:t>
      </w:r>
      <w:r w:rsidRPr="004B189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</w:t>
      </w:r>
      <w:r w:rsidR="00B47327" w:rsidRPr="004B189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</w:t>
      </w:r>
      <w:r w:rsidR="004B189E" w:rsidRPr="004B189E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B189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</w:t>
      </w:r>
      <w:r w:rsidRPr="000718CC">
        <w:rPr>
          <w:rFonts w:asciiTheme="minorHAnsi" w:hAnsiTheme="minorHAnsi" w:cstheme="minorHAnsi"/>
          <w:iCs/>
          <w:color w:val="auto"/>
          <w:sz w:val="24"/>
          <w:szCs w:val="24"/>
        </w:rPr>
        <w:t>).</w:t>
      </w:r>
    </w:p>
    <w:p w14:paraId="3E8A8DE2" w14:textId="0A3806C4" w:rsidR="00407351" w:rsidRDefault="00DF4C97" w:rsidP="00B47327">
      <w:pPr>
        <w:spacing w:after="120" w:line="240" w:lineRule="auto"/>
        <w:ind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B47327">
      <w:pPr>
        <w:spacing w:after="120" w:line="240" w:lineRule="auto"/>
        <w:ind w:right="-94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B47327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0F04D3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53B1" w14:textId="77777777" w:rsidR="005A2F40" w:rsidRDefault="005A2F40">
      <w:pPr>
        <w:spacing w:after="0" w:line="240" w:lineRule="auto"/>
      </w:pPr>
      <w:r>
        <w:separator/>
      </w:r>
    </w:p>
  </w:endnote>
  <w:endnote w:type="continuationSeparator" w:id="0">
    <w:p w14:paraId="12B3A241" w14:textId="77777777" w:rsidR="005A2F40" w:rsidRDefault="005A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732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732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FC2E1" w14:textId="77777777" w:rsidR="005A2F40" w:rsidRDefault="005A2F40">
      <w:pPr>
        <w:spacing w:after="0" w:line="240" w:lineRule="auto"/>
      </w:pPr>
      <w:r>
        <w:separator/>
      </w:r>
    </w:p>
  </w:footnote>
  <w:footnote w:type="continuationSeparator" w:id="0">
    <w:p w14:paraId="78F29D25" w14:textId="77777777" w:rsidR="005A2F40" w:rsidRDefault="005A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466084">
    <w:abstractNumId w:val="25"/>
  </w:num>
  <w:num w:numId="2" w16cid:durableId="1583639209">
    <w:abstractNumId w:val="7"/>
  </w:num>
  <w:num w:numId="3" w16cid:durableId="1986275696">
    <w:abstractNumId w:val="27"/>
  </w:num>
  <w:num w:numId="4" w16cid:durableId="743138131">
    <w:abstractNumId w:val="23"/>
  </w:num>
  <w:num w:numId="5" w16cid:durableId="1154103130">
    <w:abstractNumId w:val="12"/>
  </w:num>
  <w:num w:numId="6" w16cid:durableId="1309826041">
    <w:abstractNumId w:val="19"/>
  </w:num>
  <w:num w:numId="7" w16cid:durableId="590361314">
    <w:abstractNumId w:val="3"/>
  </w:num>
  <w:num w:numId="8" w16cid:durableId="1212696535">
    <w:abstractNumId w:val="22"/>
  </w:num>
  <w:num w:numId="9" w16cid:durableId="36704802">
    <w:abstractNumId w:val="17"/>
  </w:num>
  <w:num w:numId="10" w16cid:durableId="2130196981">
    <w:abstractNumId w:val="18"/>
  </w:num>
  <w:num w:numId="11" w16cid:durableId="409237780">
    <w:abstractNumId w:val="37"/>
  </w:num>
  <w:num w:numId="12" w16cid:durableId="690883636">
    <w:abstractNumId w:val="1"/>
  </w:num>
  <w:num w:numId="13" w16cid:durableId="115682417">
    <w:abstractNumId w:val="8"/>
  </w:num>
  <w:num w:numId="14" w16cid:durableId="762533252">
    <w:abstractNumId w:val="32"/>
  </w:num>
  <w:num w:numId="15" w16cid:durableId="1585652615">
    <w:abstractNumId w:val="5"/>
  </w:num>
  <w:num w:numId="16" w16cid:durableId="528179540">
    <w:abstractNumId w:val="14"/>
  </w:num>
  <w:num w:numId="17" w16cid:durableId="465709585">
    <w:abstractNumId w:val="4"/>
  </w:num>
  <w:num w:numId="18" w16cid:durableId="1348605167">
    <w:abstractNumId w:val="11"/>
  </w:num>
  <w:num w:numId="19" w16cid:durableId="922955929">
    <w:abstractNumId w:val="10"/>
  </w:num>
  <w:num w:numId="20" w16cid:durableId="2101364836">
    <w:abstractNumId w:val="6"/>
  </w:num>
  <w:num w:numId="21" w16cid:durableId="839126941">
    <w:abstractNumId w:val="31"/>
  </w:num>
  <w:num w:numId="22" w16cid:durableId="1177962727">
    <w:abstractNumId w:val="34"/>
  </w:num>
  <w:num w:numId="23" w16cid:durableId="1134525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014339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481199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28038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0507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1141892">
    <w:abstractNumId w:val="15"/>
  </w:num>
  <w:num w:numId="29" w16cid:durableId="12473775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6138671">
    <w:abstractNumId w:val="29"/>
  </w:num>
  <w:num w:numId="31" w16cid:durableId="59987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5720425">
    <w:abstractNumId w:val="33"/>
  </w:num>
  <w:num w:numId="33" w16cid:durableId="962033556">
    <w:abstractNumId w:val="9"/>
  </w:num>
  <w:num w:numId="34" w16cid:durableId="1295719773">
    <w:abstractNumId w:val="30"/>
  </w:num>
  <w:num w:numId="35" w16cid:durableId="779835813">
    <w:abstractNumId w:val="36"/>
  </w:num>
  <w:num w:numId="36" w16cid:durableId="1300500448">
    <w:abstractNumId w:val="21"/>
  </w:num>
  <w:num w:numId="37" w16cid:durableId="388194260">
    <w:abstractNumId w:val="35"/>
  </w:num>
  <w:num w:numId="38" w16cid:durableId="2019574556">
    <w:abstractNumId w:val="2"/>
  </w:num>
  <w:num w:numId="39" w16cid:durableId="1501000573">
    <w:abstractNumId w:val="0"/>
  </w:num>
  <w:num w:numId="40" w16cid:durableId="436684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58CD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18CC"/>
    <w:rsid w:val="00073F4C"/>
    <w:rsid w:val="000835F4"/>
    <w:rsid w:val="00086395"/>
    <w:rsid w:val="000874E7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38DE"/>
    <w:rsid w:val="000D4624"/>
    <w:rsid w:val="000E04B8"/>
    <w:rsid w:val="000E5363"/>
    <w:rsid w:val="000E622C"/>
    <w:rsid w:val="000F04D3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4C4D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63A5"/>
    <w:rsid w:val="00217252"/>
    <w:rsid w:val="0022135C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B4A2D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10AAF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77BE"/>
    <w:rsid w:val="00352167"/>
    <w:rsid w:val="00352E16"/>
    <w:rsid w:val="00357B84"/>
    <w:rsid w:val="00360E68"/>
    <w:rsid w:val="0036228C"/>
    <w:rsid w:val="003629CE"/>
    <w:rsid w:val="00371660"/>
    <w:rsid w:val="00393A25"/>
    <w:rsid w:val="003A4908"/>
    <w:rsid w:val="003B79CA"/>
    <w:rsid w:val="003C0904"/>
    <w:rsid w:val="003D2E04"/>
    <w:rsid w:val="003D5245"/>
    <w:rsid w:val="003E51AC"/>
    <w:rsid w:val="003E7A3E"/>
    <w:rsid w:val="003F0550"/>
    <w:rsid w:val="004028DE"/>
    <w:rsid w:val="00402930"/>
    <w:rsid w:val="00402F19"/>
    <w:rsid w:val="0040655E"/>
    <w:rsid w:val="00407351"/>
    <w:rsid w:val="00411CA8"/>
    <w:rsid w:val="00414A57"/>
    <w:rsid w:val="00414B47"/>
    <w:rsid w:val="00424596"/>
    <w:rsid w:val="00427F6E"/>
    <w:rsid w:val="004338EB"/>
    <w:rsid w:val="00433C14"/>
    <w:rsid w:val="00435B31"/>
    <w:rsid w:val="00435E0D"/>
    <w:rsid w:val="00437B55"/>
    <w:rsid w:val="004472A9"/>
    <w:rsid w:val="004628CF"/>
    <w:rsid w:val="004708F4"/>
    <w:rsid w:val="004725C2"/>
    <w:rsid w:val="00483C54"/>
    <w:rsid w:val="00486AE2"/>
    <w:rsid w:val="004950FE"/>
    <w:rsid w:val="004A4937"/>
    <w:rsid w:val="004B189E"/>
    <w:rsid w:val="004B2577"/>
    <w:rsid w:val="004B68B0"/>
    <w:rsid w:val="004D107D"/>
    <w:rsid w:val="004D29FD"/>
    <w:rsid w:val="004D5826"/>
    <w:rsid w:val="004D5EB9"/>
    <w:rsid w:val="004E54DB"/>
    <w:rsid w:val="004F4DA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A2F40"/>
    <w:rsid w:val="005B2F04"/>
    <w:rsid w:val="005B4494"/>
    <w:rsid w:val="005C6BBF"/>
    <w:rsid w:val="005D740E"/>
    <w:rsid w:val="005E460E"/>
    <w:rsid w:val="005E539F"/>
    <w:rsid w:val="005E724E"/>
    <w:rsid w:val="005F15AD"/>
    <w:rsid w:val="005F59A5"/>
    <w:rsid w:val="005F6457"/>
    <w:rsid w:val="00605D46"/>
    <w:rsid w:val="006170A1"/>
    <w:rsid w:val="00630D69"/>
    <w:rsid w:val="0063146E"/>
    <w:rsid w:val="0063429D"/>
    <w:rsid w:val="00645089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3961"/>
    <w:rsid w:val="006A614F"/>
    <w:rsid w:val="006B0F4B"/>
    <w:rsid w:val="006B7DC6"/>
    <w:rsid w:val="006C759B"/>
    <w:rsid w:val="006D04A2"/>
    <w:rsid w:val="006D31E4"/>
    <w:rsid w:val="006D333C"/>
    <w:rsid w:val="006D7671"/>
    <w:rsid w:val="006E2989"/>
    <w:rsid w:val="006E66A4"/>
    <w:rsid w:val="006F1BF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6033F"/>
    <w:rsid w:val="00762879"/>
    <w:rsid w:val="0076313F"/>
    <w:rsid w:val="0076768F"/>
    <w:rsid w:val="007724EB"/>
    <w:rsid w:val="00790E03"/>
    <w:rsid w:val="00791947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414FE"/>
    <w:rsid w:val="0084382D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A73CA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E00DB"/>
    <w:rsid w:val="008E3074"/>
    <w:rsid w:val="008E33EA"/>
    <w:rsid w:val="008F22C6"/>
    <w:rsid w:val="008F6D3E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805CC"/>
    <w:rsid w:val="009908BE"/>
    <w:rsid w:val="00990E1C"/>
    <w:rsid w:val="0099748C"/>
    <w:rsid w:val="0099753C"/>
    <w:rsid w:val="009A4F77"/>
    <w:rsid w:val="009D1C70"/>
    <w:rsid w:val="009F226A"/>
    <w:rsid w:val="009F412E"/>
    <w:rsid w:val="00A00552"/>
    <w:rsid w:val="00A03CBB"/>
    <w:rsid w:val="00A076EC"/>
    <w:rsid w:val="00A10367"/>
    <w:rsid w:val="00A165C9"/>
    <w:rsid w:val="00A16A6C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DE8"/>
    <w:rsid w:val="00B22E1B"/>
    <w:rsid w:val="00B270F9"/>
    <w:rsid w:val="00B2726A"/>
    <w:rsid w:val="00B347D0"/>
    <w:rsid w:val="00B47327"/>
    <w:rsid w:val="00B53A81"/>
    <w:rsid w:val="00B53E44"/>
    <w:rsid w:val="00B5661E"/>
    <w:rsid w:val="00B66110"/>
    <w:rsid w:val="00B72B9F"/>
    <w:rsid w:val="00B72E78"/>
    <w:rsid w:val="00B7478D"/>
    <w:rsid w:val="00B76F90"/>
    <w:rsid w:val="00B90D1B"/>
    <w:rsid w:val="00B927DE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0CC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50B71"/>
    <w:rsid w:val="00D52386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7513"/>
    <w:rsid w:val="00DF1CF5"/>
    <w:rsid w:val="00DF4C97"/>
    <w:rsid w:val="00E0101E"/>
    <w:rsid w:val="00E040F4"/>
    <w:rsid w:val="00E06921"/>
    <w:rsid w:val="00E211EC"/>
    <w:rsid w:val="00E2661D"/>
    <w:rsid w:val="00E33A40"/>
    <w:rsid w:val="00E358FA"/>
    <w:rsid w:val="00E410C8"/>
    <w:rsid w:val="00E42146"/>
    <w:rsid w:val="00E53206"/>
    <w:rsid w:val="00E60911"/>
    <w:rsid w:val="00E733C2"/>
    <w:rsid w:val="00E83B5E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4C42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57FDCDE9-9D18-4AE3-9CA8-360F2EAC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2454-72F2-4DFC-B3CA-C8A6931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12</Pages>
  <Words>4109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61</cp:revision>
  <cp:lastPrinted>2022-09-01T06:46:00Z</cp:lastPrinted>
  <dcterms:created xsi:type="dcterms:W3CDTF">2023-06-20T07:46:00Z</dcterms:created>
  <dcterms:modified xsi:type="dcterms:W3CDTF">2025-06-02T07:55:00Z</dcterms:modified>
</cp:coreProperties>
</file>