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Markusy”  - etap I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koGWZFySwr650/0z9D8KV74QcA==">CgMxLjAyCmlkLjMwajB6bGwyCmlkLjFmb2I5dGUyCmlkLjN6bnlzaDcyCmlkLjJldDkycDAyCWlkLnR5amN3dDgAaiMKFHN1Z2dlc3QuaWc5bjY2YnhteTdlEgtLYXJvbCBOb3dha3IhMUF6SEwxbGNsd3lpRVl5a3g2VHQxWFhiTk1pQkExSG1B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