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658D0028"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E25B01">
        <w:rPr>
          <w:b/>
          <w:sz w:val="22"/>
          <w:szCs w:val="22"/>
          <w:lang w:eastAsia="en-GB"/>
        </w:rPr>
        <w:t>1</w:t>
      </w:r>
      <w:r w:rsidR="00671C64">
        <w:rPr>
          <w:b/>
          <w:sz w:val="22"/>
          <w:szCs w:val="22"/>
          <w:lang w:eastAsia="en-GB"/>
        </w:rPr>
        <w:t>2</w:t>
      </w:r>
      <w:r w:rsidR="00F420E7">
        <w:rPr>
          <w:b/>
          <w:sz w:val="22"/>
          <w:szCs w:val="22"/>
          <w:lang w:eastAsia="en-GB"/>
        </w:rPr>
        <w:t>.2025</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47DE2C3E"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1B8C1BAA"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671C64" w:rsidRPr="00671C64">
        <w:rPr>
          <w:b/>
          <w:bCs/>
          <w:sz w:val="22"/>
          <w:szCs w:val="22"/>
          <w:lang w:eastAsia="ar-SA"/>
        </w:rPr>
        <w:t>Termomodernizacja budynku Ratusza w Lądku-Zdroju –projekt, dostawa i montaż gruntowej pompy ciepła</w:t>
      </w:r>
      <w:r w:rsidR="00671C64">
        <w:rPr>
          <w:b/>
          <w:bCs/>
          <w:sz w:val="22"/>
          <w:szCs w:val="22"/>
          <w:lang w:eastAsia="ar-SA"/>
        </w:rPr>
        <w:t>,</w:t>
      </w:r>
      <w:r w:rsidR="00671C64" w:rsidRPr="00671C64">
        <w:rPr>
          <w:b/>
          <w:bCs/>
          <w:sz w:val="22"/>
          <w:szCs w:val="22"/>
          <w:lang w:eastAsia="ar-SA"/>
        </w:rPr>
        <w:t xml:space="preserve">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t>
      </w:r>
      <w:r w:rsidRPr="00671C64">
        <w:rPr>
          <w:b/>
          <w:bCs/>
          <w:sz w:val="22"/>
          <w:szCs w:val="22"/>
        </w:rPr>
        <w:t>WR.271.</w:t>
      </w:r>
      <w:r w:rsidR="00E25B01" w:rsidRPr="00671C64">
        <w:rPr>
          <w:b/>
          <w:bCs/>
          <w:sz w:val="22"/>
          <w:szCs w:val="22"/>
        </w:rPr>
        <w:t>1</w:t>
      </w:r>
      <w:r w:rsidR="00671C64" w:rsidRPr="00671C64">
        <w:rPr>
          <w:b/>
          <w:bCs/>
          <w:sz w:val="22"/>
          <w:szCs w:val="22"/>
        </w:rPr>
        <w:t>2</w:t>
      </w:r>
      <w:r w:rsidR="00F420E7" w:rsidRPr="00671C64">
        <w:rPr>
          <w:b/>
          <w:bCs/>
          <w:sz w:val="22"/>
          <w:szCs w:val="22"/>
        </w:rPr>
        <w:t>.2025</w:t>
      </w:r>
      <w:r w:rsidRPr="00671C64">
        <w:rPr>
          <w:b/>
          <w:bCs/>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09375E14" w14:textId="77777777" w:rsidR="00671C64" w:rsidRPr="00671C64" w:rsidRDefault="00671C64" w:rsidP="00671C64">
      <w:pPr>
        <w:numPr>
          <w:ilvl w:val="0"/>
          <w:numId w:val="13"/>
        </w:numPr>
        <w:tabs>
          <w:tab w:val="left" w:pos="284"/>
        </w:tabs>
        <w:spacing w:line="276" w:lineRule="auto"/>
        <w:contextualSpacing/>
        <w:jc w:val="both"/>
        <w:rPr>
          <w:sz w:val="22"/>
          <w:szCs w:val="22"/>
        </w:rPr>
      </w:pPr>
      <w:r w:rsidRPr="00671C64">
        <w:rPr>
          <w:sz w:val="22"/>
          <w:szCs w:val="22"/>
        </w:rPr>
        <w:t>Przedmiotem zamówienia jest zaprojektowanie i wykonanie układu grzewczego pompy ciepła, z wpięciem w układ istniejącego kotła gazowego, pełniącego funkcję źródła szczytowego.</w:t>
      </w:r>
    </w:p>
    <w:p w14:paraId="2C20E1BC" w14:textId="77777777" w:rsidR="00671C64" w:rsidRPr="00671C64" w:rsidRDefault="00671C64" w:rsidP="00671C64">
      <w:pPr>
        <w:numPr>
          <w:ilvl w:val="0"/>
          <w:numId w:val="13"/>
        </w:numPr>
        <w:tabs>
          <w:tab w:val="left" w:pos="284"/>
        </w:tabs>
        <w:spacing w:line="276" w:lineRule="auto"/>
        <w:contextualSpacing/>
        <w:jc w:val="both"/>
        <w:rPr>
          <w:sz w:val="22"/>
          <w:szCs w:val="22"/>
        </w:rPr>
      </w:pPr>
      <w:r w:rsidRPr="00671C64">
        <w:rPr>
          <w:sz w:val="22"/>
          <w:szCs w:val="22"/>
        </w:rPr>
        <w:t>Zakres zamówienia obejmuje:</w:t>
      </w:r>
    </w:p>
    <w:p w14:paraId="0480B32E" w14:textId="04C07212"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opracowanie projektu budowlanego, tj. PZT, PA-B i PT pompy ciepła i dolnego źródła wraz z</w:t>
      </w:r>
      <w:r w:rsidR="00903B57">
        <w:rPr>
          <w:sz w:val="22"/>
          <w:szCs w:val="22"/>
        </w:rPr>
        <w:t> </w:t>
      </w:r>
      <w:r w:rsidRPr="00671C64">
        <w:rPr>
          <w:sz w:val="22"/>
          <w:szCs w:val="22"/>
        </w:rPr>
        <w:t>wymaganymi uzgodnieniami i uzyskaniem w imieniu Zamawiającego pozwolenie na budowę;</w:t>
      </w:r>
    </w:p>
    <w:p w14:paraId="5866A2EF"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wykonanie projektu robót geologicznych i planu ruchu górniczego;</w:t>
      </w:r>
    </w:p>
    <w:p w14:paraId="74857FA4"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wykonanie projektu dolnego źródła ciepła;</w:t>
      </w:r>
    </w:p>
    <w:p w14:paraId="407EA818"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montaż dolnego źródła ciepła;</w:t>
      </w:r>
    </w:p>
    <w:p w14:paraId="560381C0"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wykonanie układu grzewczego pompy ciepła, z wpięciem w układ istniejącego kotła gazowego, pełniącego funkcję źródła szczytowego;</w:t>
      </w:r>
    </w:p>
    <w:p w14:paraId="5F958534"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odtworzenie nawierzchni brukowej po montażu źródła dolnego;</w:t>
      </w:r>
    </w:p>
    <w:p w14:paraId="06240FA9"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opracowanie dokumentacji powykonawczej układu technologicznego kotłowni;</w:t>
      </w:r>
    </w:p>
    <w:p w14:paraId="30796BDC" w14:textId="77777777" w:rsidR="00671C64" w:rsidRPr="00671C64" w:rsidRDefault="00671C64" w:rsidP="00671C64">
      <w:pPr>
        <w:numPr>
          <w:ilvl w:val="1"/>
          <w:numId w:val="13"/>
        </w:numPr>
        <w:tabs>
          <w:tab w:val="left" w:pos="284"/>
        </w:tabs>
        <w:spacing w:line="276" w:lineRule="auto"/>
        <w:contextualSpacing/>
        <w:jc w:val="both"/>
        <w:rPr>
          <w:sz w:val="22"/>
          <w:szCs w:val="22"/>
        </w:rPr>
      </w:pPr>
      <w:r w:rsidRPr="00671C64">
        <w:rPr>
          <w:sz w:val="22"/>
          <w:szCs w:val="22"/>
        </w:rPr>
        <w:t>opracowanie powykonawczej dokumentacji geologicznej.</w:t>
      </w:r>
    </w:p>
    <w:p w14:paraId="3D2BA9DE" w14:textId="173ACD8C" w:rsidR="00671C64" w:rsidRPr="00671C64" w:rsidRDefault="00671C64" w:rsidP="00671C64">
      <w:pPr>
        <w:numPr>
          <w:ilvl w:val="0"/>
          <w:numId w:val="13"/>
        </w:numPr>
        <w:tabs>
          <w:tab w:val="left" w:pos="284"/>
        </w:tabs>
        <w:spacing w:line="276" w:lineRule="auto"/>
        <w:contextualSpacing/>
        <w:jc w:val="both"/>
        <w:rPr>
          <w:sz w:val="22"/>
          <w:szCs w:val="22"/>
        </w:rPr>
      </w:pPr>
      <w:r w:rsidRPr="00671C64">
        <w:rPr>
          <w:sz w:val="22"/>
          <w:szCs w:val="22"/>
        </w:rPr>
        <w:t>Wykonawca zobowiązany jest do opracowania dokumentacji projektowej, uzyskania w imieniu Zamawiającego wszystkich niezbędnych pozwoleń, zgłoszeń, uzgodnień i dokumentów technicznych potrzebnych do wykonania przedmiotu zamówienia wynikające z przepisów prawa budowlanego i</w:t>
      </w:r>
      <w:r w:rsidR="00903B57">
        <w:rPr>
          <w:sz w:val="22"/>
          <w:szCs w:val="22"/>
        </w:rPr>
        <w:t> </w:t>
      </w:r>
      <w:r w:rsidRPr="00671C64">
        <w:rPr>
          <w:sz w:val="22"/>
          <w:szCs w:val="22"/>
        </w:rPr>
        <w:t xml:space="preserve">energetycznego. </w:t>
      </w:r>
    </w:p>
    <w:p w14:paraId="4F208669" w14:textId="77777777" w:rsidR="00671C64" w:rsidRPr="00671C64" w:rsidRDefault="00671C64" w:rsidP="00671C64">
      <w:pPr>
        <w:numPr>
          <w:ilvl w:val="0"/>
          <w:numId w:val="13"/>
        </w:numPr>
        <w:tabs>
          <w:tab w:val="left" w:pos="284"/>
        </w:tabs>
        <w:spacing w:line="276" w:lineRule="auto"/>
        <w:contextualSpacing/>
        <w:jc w:val="both"/>
        <w:rPr>
          <w:sz w:val="22"/>
          <w:szCs w:val="22"/>
        </w:rPr>
      </w:pPr>
      <w:r w:rsidRPr="00671C64">
        <w:rPr>
          <w:sz w:val="22"/>
          <w:szCs w:val="22"/>
        </w:rPr>
        <w:lastRenderedPageBreak/>
        <w:t>Wykonawca zobowiązany jest w imieniu Zamawiającego uzyskać pozwolenie Decyzję Konserwatora Zabytków na prowadzenie prac przy zabytku oraz Pozwolenie na budowę. Jeżeli Decyzja Konserwatora Zabytków będzie nakładała obowiązek nadzoru archeologicznego, Wykonawca zobowiązany jest taki nadzór zapewnić.</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671C64" w:rsidRDefault="00C74689" w:rsidP="00AC695F">
      <w:pPr>
        <w:numPr>
          <w:ilvl w:val="0"/>
          <w:numId w:val="13"/>
        </w:numPr>
        <w:tabs>
          <w:tab w:val="left" w:pos="284"/>
        </w:tabs>
        <w:spacing w:line="276" w:lineRule="auto"/>
        <w:ind w:left="284" w:hanging="284"/>
        <w:contextualSpacing/>
        <w:jc w:val="both"/>
        <w:rPr>
          <w:sz w:val="22"/>
          <w:szCs w:val="22"/>
        </w:rPr>
      </w:pPr>
      <w:r w:rsidRPr="00671C64">
        <w:rPr>
          <w:sz w:val="22"/>
          <w:szCs w:val="22"/>
        </w:rPr>
        <w:t xml:space="preserve">Wykonawca oświadcza, że zapoznał się z dokumentacją techniczną zawartą </w:t>
      </w:r>
      <w:r w:rsidR="00B73273" w:rsidRPr="00671C64">
        <w:rPr>
          <w:sz w:val="22"/>
          <w:szCs w:val="22"/>
        </w:rPr>
        <w:t>w SWZ</w:t>
      </w:r>
      <w:r w:rsidRPr="00671C64">
        <w:rPr>
          <w:sz w:val="22"/>
          <w:szCs w:val="22"/>
        </w:rPr>
        <w:t>.</w:t>
      </w:r>
    </w:p>
    <w:p w14:paraId="1C98855A"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 xml:space="preserve">Dokumentację projektową należy opracować </w:t>
      </w:r>
      <w:r w:rsidRPr="00671C64">
        <w:rPr>
          <w:b/>
          <w:sz w:val="22"/>
          <w:szCs w:val="22"/>
        </w:rPr>
        <w:t>w wersji papierowej -</w:t>
      </w:r>
      <w:r w:rsidRPr="00671C64">
        <w:rPr>
          <w:sz w:val="22"/>
          <w:szCs w:val="22"/>
        </w:rPr>
        <w:t xml:space="preserve"> </w:t>
      </w:r>
      <w:r w:rsidRPr="00671C64">
        <w:rPr>
          <w:b/>
          <w:sz w:val="22"/>
          <w:szCs w:val="22"/>
        </w:rPr>
        <w:t>3 egz. oraz w wersji elektronicznej</w:t>
      </w:r>
      <w:r w:rsidRPr="00671C64">
        <w:rPr>
          <w:sz w:val="22"/>
          <w:szCs w:val="22"/>
        </w:rPr>
        <w:t xml:space="preserve"> na nośniku CD/USB w formacie .pdf, .ath oraz nadającym się do kopiowania.</w:t>
      </w:r>
    </w:p>
    <w:p w14:paraId="22409F25"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Dokumentacja powinna zawierać:</w:t>
      </w:r>
    </w:p>
    <w:p w14:paraId="242612EE" w14:textId="77777777" w:rsidR="00671C64" w:rsidRPr="00671C64" w:rsidRDefault="00671C64" w:rsidP="00671C64">
      <w:pPr>
        <w:pStyle w:val="Zwykytekst1"/>
        <w:numPr>
          <w:ilvl w:val="0"/>
          <w:numId w:val="53"/>
        </w:numPr>
        <w:spacing w:line="276" w:lineRule="auto"/>
        <w:contextualSpacing/>
        <w:jc w:val="both"/>
        <w:rPr>
          <w:rFonts w:ascii="Times New Roman" w:hAnsi="Times New Roman" w:cs="Times New Roman"/>
          <w:sz w:val="22"/>
          <w:szCs w:val="22"/>
        </w:rPr>
      </w:pPr>
      <w:r w:rsidRPr="00671C64">
        <w:rPr>
          <w:rFonts w:ascii="Times New Roman" w:hAnsi="Times New Roman" w:cs="Times New Roman"/>
          <w:sz w:val="22"/>
          <w:szCs w:val="22"/>
        </w:rPr>
        <w:t>załączniki formalno-prawne,</w:t>
      </w:r>
    </w:p>
    <w:p w14:paraId="63B0E8AF" w14:textId="77777777" w:rsidR="00671C64" w:rsidRPr="00671C64" w:rsidRDefault="00671C64" w:rsidP="00671C64">
      <w:pPr>
        <w:pStyle w:val="Zwykytekst1"/>
        <w:numPr>
          <w:ilvl w:val="0"/>
          <w:numId w:val="53"/>
        </w:numPr>
        <w:spacing w:line="276" w:lineRule="auto"/>
        <w:contextualSpacing/>
        <w:jc w:val="both"/>
        <w:rPr>
          <w:rFonts w:ascii="Times New Roman" w:hAnsi="Times New Roman" w:cs="Times New Roman"/>
          <w:sz w:val="22"/>
          <w:szCs w:val="22"/>
        </w:rPr>
      </w:pPr>
      <w:r w:rsidRPr="00671C64">
        <w:rPr>
          <w:rFonts w:ascii="Times New Roman" w:hAnsi="Times New Roman" w:cs="Times New Roman"/>
          <w:sz w:val="22"/>
          <w:szCs w:val="22"/>
        </w:rPr>
        <w:t xml:space="preserve">rysunki budowlane (rzuty, przekroje, szczegóły) w odpowiedniej skali, </w:t>
      </w:r>
    </w:p>
    <w:p w14:paraId="14DB7292" w14:textId="77777777" w:rsidR="00671C64" w:rsidRPr="00671C64" w:rsidRDefault="00671C64" w:rsidP="00671C64">
      <w:pPr>
        <w:pStyle w:val="Zwykytekst1"/>
        <w:numPr>
          <w:ilvl w:val="0"/>
          <w:numId w:val="53"/>
        </w:numPr>
        <w:spacing w:line="276" w:lineRule="auto"/>
        <w:contextualSpacing/>
        <w:jc w:val="both"/>
        <w:rPr>
          <w:rFonts w:ascii="Times New Roman" w:hAnsi="Times New Roman" w:cs="Times New Roman"/>
          <w:sz w:val="22"/>
          <w:szCs w:val="22"/>
        </w:rPr>
      </w:pPr>
      <w:r w:rsidRPr="00671C64">
        <w:rPr>
          <w:rFonts w:ascii="Times New Roman" w:hAnsi="Times New Roman" w:cs="Times New Roman"/>
          <w:sz w:val="22"/>
          <w:szCs w:val="22"/>
        </w:rPr>
        <w:t>wszystkie wymagane prawem zgody i uzgodnienia, a w szczególności: uzgodnienia uprawnionego rzeczoznawcy ds. ochrony przeciwpożarowej oraz ewentualne uzgodnienia związane z ochroną środowiska (jeśli dotyczy),</w:t>
      </w:r>
    </w:p>
    <w:p w14:paraId="41C6FB38" w14:textId="77777777" w:rsidR="00671C64" w:rsidRPr="00671C64" w:rsidRDefault="00671C64" w:rsidP="00671C64">
      <w:pPr>
        <w:pStyle w:val="Zwykytekst1"/>
        <w:numPr>
          <w:ilvl w:val="0"/>
          <w:numId w:val="53"/>
        </w:numPr>
        <w:spacing w:line="276" w:lineRule="auto"/>
        <w:contextualSpacing/>
        <w:jc w:val="both"/>
        <w:rPr>
          <w:rFonts w:ascii="Times New Roman" w:hAnsi="Times New Roman" w:cs="Times New Roman"/>
          <w:sz w:val="22"/>
          <w:szCs w:val="22"/>
        </w:rPr>
      </w:pPr>
      <w:r w:rsidRPr="00671C64">
        <w:rPr>
          <w:rFonts w:ascii="Times New Roman" w:hAnsi="Times New Roman" w:cs="Times New Roman"/>
          <w:sz w:val="22"/>
          <w:szCs w:val="22"/>
        </w:rPr>
        <w:t>specyfikacje techniczne wykonania i odbioru robót budowlanych,</w:t>
      </w:r>
    </w:p>
    <w:p w14:paraId="09A06552" w14:textId="77777777" w:rsidR="00671C64" w:rsidRPr="00671C64" w:rsidRDefault="00671C64" w:rsidP="00671C64">
      <w:pPr>
        <w:pStyle w:val="Zwykytekst1"/>
        <w:numPr>
          <w:ilvl w:val="0"/>
          <w:numId w:val="53"/>
        </w:numPr>
        <w:spacing w:line="276" w:lineRule="auto"/>
        <w:contextualSpacing/>
        <w:jc w:val="both"/>
        <w:rPr>
          <w:rFonts w:ascii="Times New Roman" w:hAnsi="Times New Roman" w:cs="Times New Roman"/>
          <w:sz w:val="22"/>
          <w:szCs w:val="22"/>
        </w:rPr>
      </w:pPr>
      <w:r w:rsidRPr="00671C64">
        <w:rPr>
          <w:rFonts w:ascii="Times New Roman" w:hAnsi="Times New Roman" w:cs="Times New Roman"/>
          <w:sz w:val="22"/>
          <w:szCs w:val="22"/>
        </w:rPr>
        <w:t>kartę informacyjną przedsięwzięcia i/lub Raport o oddziaływaniu przedsięwzięcia na środowisko, wraz z decyzją o wymaganiach środowiskowych (jeżeli jest wymagana),</w:t>
      </w:r>
    </w:p>
    <w:p w14:paraId="695BA353" w14:textId="77777777" w:rsidR="00671C64" w:rsidRPr="00671C64" w:rsidRDefault="00671C64" w:rsidP="00671C64">
      <w:pPr>
        <w:pStyle w:val="Zwykytekst1"/>
        <w:numPr>
          <w:ilvl w:val="0"/>
          <w:numId w:val="53"/>
        </w:numPr>
        <w:spacing w:line="276" w:lineRule="auto"/>
        <w:contextualSpacing/>
        <w:jc w:val="both"/>
        <w:rPr>
          <w:rFonts w:ascii="Times New Roman" w:hAnsi="Times New Roman" w:cs="Times New Roman"/>
          <w:sz w:val="22"/>
          <w:szCs w:val="22"/>
        </w:rPr>
      </w:pPr>
      <w:r w:rsidRPr="00671C64">
        <w:rPr>
          <w:rFonts w:ascii="Times New Roman" w:hAnsi="Times New Roman" w:cs="Times New Roman"/>
          <w:sz w:val="22"/>
          <w:szCs w:val="22"/>
        </w:rPr>
        <w:t>harmonogram robót z uwzględnieniem szczegółowego planu prac termomodernizacyjnych, prac instalacyjnych i rozruchu modernizowanych systemów grzewczych i źródeł ciepła,</w:t>
      </w:r>
    </w:p>
    <w:p w14:paraId="330C303B"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Zakres zamówienia obejmuje również  nadzór autorski podczas realizacji robót budowlanych.</w:t>
      </w:r>
    </w:p>
    <w:p w14:paraId="75A30565" w14:textId="5F894A32"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Wykonawca zobowiązuje się sporządzić przedmiotową dokumentację techniczną stosownie do obowiązujących przepisów, zasad sztuki budowlanej oraz wiedzy technicznej, na podstawie dokumentów i informacji dostarczonych przez Zamawiającego</w:t>
      </w:r>
      <w:r>
        <w:rPr>
          <w:sz w:val="22"/>
          <w:szCs w:val="22"/>
        </w:rPr>
        <w:t>.</w:t>
      </w:r>
      <w:r w:rsidRPr="00671C64">
        <w:rPr>
          <w:sz w:val="22"/>
          <w:szCs w:val="22"/>
        </w:rPr>
        <w:t xml:space="preserve"> </w:t>
      </w:r>
    </w:p>
    <w:p w14:paraId="0A12FC37"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 xml:space="preserve">Wraz z przekazaniem dokumentacji technicznej Wykonawca przenosi na Zamawiającego autorskie prawa majątkowe do rozporządzania  i korzystania z Dokumentacji projektowej lub ich części, które polegać będzie na realizacji prac budowlano – montażowych na podstawie Dokumentacji projektowej lub ich części, wykorzystania  Dokumentacji projektowej w toku postępowań prowadzonych przez Zamawiającego na podstawie przepisów ustawy Prawo zamówień publicznych, prezentacji w ramach organizowanych przez Zamawiającego lub inne podmioty wystaw, pokazów i prezentacji, wprowadzania do pamięci komputera, przetwarzania na technikę cyfrową i zwielokrotniania na dowolne cele, wprowadzania zmian do Dokumentacji projektowej. </w:t>
      </w:r>
    </w:p>
    <w:p w14:paraId="15627BA9"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 xml:space="preserve">Wykonawca przenosi na Zamawiającego prawo do zezwalania na wykonywanie zależnych praw autorskich do Dokumentacji projektowej, polegających na dokonywaniu zmian w Dokumentacji projektowej. </w:t>
      </w:r>
    </w:p>
    <w:p w14:paraId="7E2EC647"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Wykonawca oświadcza, że wprowadzenie przez Zamawiającego zmian w Dokumentacji projektowej i/lub powierzenie dokonania takich zmian innym osobom a także wykonywanie praw zależnych, nie będzie naruszało jego autorskich praw osobistych do Dokumentacji projektowej.</w:t>
      </w:r>
    </w:p>
    <w:p w14:paraId="6379815C"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 oznacza uznanie przez Wykonawca  istnienia dostrzeżonych wad.</w:t>
      </w:r>
    </w:p>
    <w:p w14:paraId="47649218"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14:paraId="2B83A53E" w14:textId="77777777"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lastRenderedPageBreak/>
        <w:t>Roboty budowlane powinny być realizowane  zgodnie z przepisami ustawy z dnia 7 lipca 1994 r.- Prawo Budowlane (</w:t>
      </w:r>
      <w:proofErr w:type="spellStart"/>
      <w:r w:rsidRPr="00671C64">
        <w:rPr>
          <w:sz w:val="22"/>
          <w:szCs w:val="22"/>
        </w:rPr>
        <w:t>t.j</w:t>
      </w:r>
      <w:proofErr w:type="spellEnd"/>
      <w:r w:rsidRPr="00671C64">
        <w:rPr>
          <w:sz w:val="22"/>
          <w:szCs w:val="22"/>
        </w:rPr>
        <w:t>. Dz.U. z 2020r. poz. 1333 ze zm.) na podstawie dokumentacji projektowej, zgodnie zasadami wiedzy technicznej, obowiązującymi w Rzeczypospolitej Polskiej przepisami prawa, decyzjami, opiniami, uzgodnieniami oraz zaleceniami Zamawiającego, Inspektora Nadzoru i Kierownika Budowy.</w:t>
      </w:r>
    </w:p>
    <w:p w14:paraId="317A84A8" w14:textId="13C150F9" w:rsidR="00671C64" w:rsidRPr="00671C64" w:rsidRDefault="00671C64" w:rsidP="00671C64">
      <w:pPr>
        <w:numPr>
          <w:ilvl w:val="0"/>
          <w:numId w:val="13"/>
        </w:numPr>
        <w:tabs>
          <w:tab w:val="left" w:pos="284"/>
        </w:tabs>
        <w:spacing w:line="276" w:lineRule="auto"/>
        <w:ind w:left="284" w:hanging="284"/>
        <w:contextualSpacing/>
        <w:jc w:val="both"/>
        <w:rPr>
          <w:sz w:val="22"/>
          <w:szCs w:val="22"/>
        </w:rPr>
      </w:pPr>
      <w:r w:rsidRPr="00671C64">
        <w:rPr>
          <w:sz w:val="22"/>
          <w:szCs w:val="22"/>
        </w:rPr>
        <w:t>Wykonawca zobowiązuje się wykonać roboty budowlane z materiałów - wyrobów budowlanych, które powinny odpowiadać, co do jakości wymogom wyrobów budowlanych dopuszczonych do obrotu i</w:t>
      </w:r>
      <w:r w:rsidR="00903B57">
        <w:rPr>
          <w:sz w:val="22"/>
          <w:szCs w:val="22"/>
        </w:rPr>
        <w:t> </w:t>
      </w:r>
      <w:r w:rsidRPr="00671C64">
        <w:rPr>
          <w:sz w:val="22"/>
          <w:szCs w:val="22"/>
        </w:rPr>
        <w:t>stosowania w budownictwie określonym w przepisach ustawy Prawo Budowlane i posiadać aprobatę techniczną. Jeżeli Zamawiający zażąda badań potwierdzających spełnienie wymagań, to Wykonawca obowiązany jest przeprowadzić te badania na swój koszt.</w:t>
      </w:r>
    </w:p>
    <w:p w14:paraId="5070B29E" w14:textId="7A4C13B4" w:rsidR="00671C64" w:rsidRPr="006F55B2" w:rsidRDefault="00671C64" w:rsidP="006F55B2">
      <w:pPr>
        <w:numPr>
          <w:ilvl w:val="0"/>
          <w:numId w:val="13"/>
        </w:numPr>
        <w:tabs>
          <w:tab w:val="left" w:pos="284"/>
        </w:tabs>
        <w:spacing w:line="276" w:lineRule="auto"/>
        <w:ind w:left="284" w:hanging="284"/>
        <w:contextualSpacing/>
        <w:jc w:val="both"/>
        <w:rPr>
          <w:sz w:val="22"/>
          <w:szCs w:val="22"/>
        </w:rPr>
      </w:pPr>
      <w:r w:rsidRPr="00671C64">
        <w:rPr>
          <w:sz w:val="22"/>
          <w:szCs w:val="22"/>
        </w:rPr>
        <w:t>Przedsięwzięcie pn. „Termomodernizacja budynku Ratusza w Lądku-Zdroju” jest współfinansowane z</w:t>
      </w:r>
      <w:r>
        <w:rPr>
          <w:sz w:val="22"/>
          <w:szCs w:val="22"/>
        </w:rPr>
        <w:t> </w:t>
      </w:r>
      <w:r w:rsidRPr="00671C64">
        <w:rPr>
          <w:sz w:val="22"/>
          <w:szCs w:val="22"/>
        </w:rPr>
        <w:t>środków Narodowego Funduszu Ochrony Środowiska i Gospodarki Wodnej</w:t>
      </w:r>
      <w:r w:rsidR="00903B57">
        <w:rPr>
          <w:sz w:val="22"/>
          <w:szCs w:val="22"/>
        </w:rPr>
        <w: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5262728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w:t>
      </w:r>
      <w:r w:rsidR="00466880">
        <w:rPr>
          <w:sz w:val="22"/>
          <w:szCs w:val="22"/>
          <w:lang w:eastAsia="en-GB"/>
        </w:rPr>
        <w:t xml:space="preserve"> lipca </w:t>
      </w:r>
      <w:r w:rsidRPr="00D447B5">
        <w:rPr>
          <w:sz w:val="22"/>
          <w:szCs w:val="22"/>
          <w:lang w:eastAsia="en-GB"/>
        </w:rPr>
        <w:t>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7A908245"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ustawy z dnia 23</w:t>
      </w:r>
      <w:r w:rsidR="00466880">
        <w:rPr>
          <w:rFonts w:eastAsia="MS Mincho"/>
          <w:sz w:val="22"/>
          <w:szCs w:val="22"/>
          <w:lang w:eastAsia="en-GB"/>
        </w:rPr>
        <w:t xml:space="preserve"> kwietnia </w:t>
      </w:r>
      <w:r w:rsidRPr="00D447B5">
        <w:rPr>
          <w:rFonts w:eastAsia="MS Mincho"/>
          <w:sz w:val="22"/>
          <w:szCs w:val="22"/>
          <w:lang w:eastAsia="en-GB"/>
        </w:rPr>
        <w:t xml:space="preserve">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530B74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797FD996"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389CE03B" w:rsidR="007B505E" w:rsidRPr="00EE7D12" w:rsidRDefault="00EE7D12" w:rsidP="00EF653F">
      <w:pPr>
        <w:pStyle w:val="Akapitzlist"/>
        <w:numPr>
          <w:ilvl w:val="0"/>
          <w:numId w:val="37"/>
        </w:numPr>
        <w:contextualSpacing/>
        <w:jc w:val="both"/>
        <w:rPr>
          <w:rFonts w:ascii="Times New Roman" w:hAnsi="Times New Roman"/>
          <w:szCs w:val="22"/>
        </w:rPr>
      </w:pPr>
      <w:r w:rsidRPr="00EE7D12">
        <w:rPr>
          <w:rFonts w:ascii="Times New Roman" w:hAnsi="Times New Roman"/>
          <w:szCs w:val="22"/>
        </w:rPr>
        <w:t>opracowania instrukcji eksploatacji technologicznej, instrukcji eksploatacji i utrzymania obiektu po jego ukończeniu;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85CCA5C"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r w:rsidR="00EE7D12">
        <w:rPr>
          <w:rFonts w:ascii="Times New Roman" w:hAnsi="Times New Roman"/>
          <w:szCs w:val="22"/>
        </w:rPr>
        <w:t>, w tym geodezyjnych</w:t>
      </w:r>
      <w:r w:rsidR="007B505E" w:rsidRPr="00D447B5">
        <w:rPr>
          <w:rFonts w:ascii="Times New Roman" w:hAnsi="Times New Roman"/>
          <w:szCs w:val="22"/>
        </w:rPr>
        <w:t>;</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lastRenderedPageBreak/>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5C04771E" w:rsidR="00A75B68"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EE7D12">
        <w:rPr>
          <w:b/>
          <w:sz w:val="22"/>
          <w:szCs w:val="22"/>
        </w:rPr>
        <w:t xml:space="preserve">5 miesięcy </w:t>
      </w:r>
      <w:r w:rsidR="001A0C06">
        <w:rPr>
          <w:b/>
          <w:sz w:val="22"/>
          <w:szCs w:val="22"/>
        </w:rPr>
        <w:t>od dnia podpisania umowy, tj. do dnia ………………………</w:t>
      </w:r>
      <w:r w:rsidR="00EE7D12">
        <w:rPr>
          <w:b/>
          <w:sz w:val="22"/>
          <w:szCs w:val="22"/>
        </w:rPr>
        <w:t>, zgodnie z następującym harmonogramem:</w:t>
      </w:r>
    </w:p>
    <w:p w14:paraId="37780853" w14:textId="77777777" w:rsidR="00EE7D12" w:rsidRPr="00EE7D12" w:rsidRDefault="00EE7D12" w:rsidP="00EE7D12">
      <w:pPr>
        <w:numPr>
          <w:ilvl w:val="1"/>
          <w:numId w:val="14"/>
        </w:numPr>
        <w:spacing w:line="276" w:lineRule="auto"/>
        <w:contextualSpacing/>
        <w:jc w:val="both"/>
        <w:rPr>
          <w:bCs/>
          <w:sz w:val="22"/>
          <w:szCs w:val="22"/>
        </w:rPr>
      </w:pPr>
      <w:r w:rsidRPr="00EE7D12">
        <w:rPr>
          <w:bCs/>
          <w:sz w:val="22"/>
          <w:szCs w:val="22"/>
        </w:rPr>
        <w:t>przedstawienie koncepcji: 10 dni od podpisania umowy;</w:t>
      </w:r>
    </w:p>
    <w:p w14:paraId="12E428B4" w14:textId="77777777" w:rsidR="00EE7D12" w:rsidRPr="00EE7D12" w:rsidRDefault="00EE7D12" w:rsidP="00EE7D12">
      <w:pPr>
        <w:numPr>
          <w:ilvl w:val="1"/>
          <w:numId w:val="14"/>
        </w:numPr>
        <w:spacing w:line="276" w:lineRule="auto"/>
        <w:contextualSpacing/>
        <w:jc w:val="both"/>
        <w:rPr>
          <w:bCs/>
          <w:sz w:val="22"/>
          <w:szCs w:val="22"/>
        </w:rPr>
      </w:pPr>
      <w:r w:rsidRPr="00EE7D12">
        <w:rPr>
          <w:bCs/>
          <w:sz w:val="22"/>
          <w:szCs w:val="22"/>
        </w:rPr>
        <w:t>projekt zagospodarowania terenu, projekt architektoniczno-budowlany wraz ze złożeniem kompletnego wniosku o pozwolenie na budowę: 30 dni od akceptacji koncepcji przez Zamawiającego;</w:t>
      </w:r>
    </w:p>
    <w:p w14:paraId="55FA3EFB" w14:textId="77777777" w:rsidR="00EE7D12" w:rsidRPr="00EE7D12" w:rsidRDefault="00EE7D12" w:rsidP="00EE7D12">
      <w:pPr>
        <w:numPr>
          <w:ilvl w:val="1"/>
          <w:numId w:val="14"/>
        </w:numPr>
        <w:spacing w:line="276" w:lineRule="auto"/>
        <w:contextualSpacing/>
        <w:jc w:val="both"/>
        <w:rPr>
          <w:bCs/>
          <w:sz w:val="22"/>
          <w:szCs w:val="22"/>
        </w:rPr>
      </w:pPr>
      <w:r w:rsidRPr="00EE7D12">
        <w:rPr>
          <w:bCs/>
          <w:sz w:val="22"/>
          <w:szCs w:val="22"/>
        </w:rPr>
        <w:t>dokumentacja techniczna (</w:t>
      </w:r>
      <w:proofErr w:type="spellStart"/>
      <w:r w:rsidRPr="00EE7D12">
        <w:rPr>
          <w:bCs/>
          <w:sz w:val="22"/>
          <w:szCs w:val="22"/>
        </w:rPr>
        <w:t>STWiOR</w:t>
      </w:r>
      <w:proofErr w:type="spellEnd"/>
      <w:r w:rsidRPr="00EE7D12">
        <w:rPr>
          <w:bCs/>
          <w:sz w:val="22"/>
          <w:szCs w:val="22"/>
        </w:rPr>
        <w:t xml:space="preserve"> i projekt techniczny): 21 dni od przekazania PZT i PA-B;</w:t>
      </w:r>
    </w:p>
    <w:p w14:paraId="1BE115CF" w14:textId="5E80D615" w:rsidR="006F55B2" w:rsidRPr="00EE7D12" w:rsidRDefault="00EE7D12" w:rsidP="00EE7D12">
      <w:pPr>
        <w:numPr>
          <w:ilvl w:val="1"/>
          <w:numId w:val="14"/>
        </w:numPr>
        <w:spacing w:line="276" w:lineRule="auto"/>
        <w:contextualSpacing/>
        <w:jc w:val="both"/>
        <w:rPr>
          <w:bCs/>
          <w:sz w:val="22"/>
          <w:szCs w:val="22"/>
          <w:lang w:eastAsia="en-US"/>
        </w:rPr>
      </w:pPr>
      <w:r w:rsidRPr="00EE7D12">
        <w:rPr>
          <w:bCs/>
          <w:sz w:val="22"/>
          <w:szCs w:val="22"/>
        </w:rPr>
        <w:t>wykonanie robót budowlanych: 2 miesiące od uprawomocnienia się pozwolenia na budowę.</w:t>
      </w:r>
    </w:p>
    <w:p w14:paraId="68618C91" w14:textId="77777777" w:rsidR="00466880" w:rsidRDefault="00466880" w:rsidP="00AC695F">
      <w:pPr>
        <w:spacing w:line="276" w:lineRule="auto"/>
        <w:contextualSpacing/>
        <w:jc w:val="center"/>
        <w:rPr>
          <w:b/>
          <w:sz w:val="22"/>
          <w:szCs w:val="22"/>
          <w:lang w:eastAsia="en-GB"/>
        </w:rPr>
      </w:pPr>
    </w:p>
    <w:p w14:paraId="115C6E27" w14:textId="38CB3FF6"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0" w:name="mip51082792"/>
      <w:bookmarkStart w:id="1" w:name="mip51082797"/>
      <w:bookmarkEnd w:id="0"/>
      <w:bookmarkEnd w:id="1"/>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lastRenderedPageBreak/>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56577A1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2" w:name="mip51082815"/>
      <w:bookmarkStart w:id="3" w:name="mip51082816"/>
      <w:bookmarkEnd w:id="2"/>
      <w:bookmarkEnd w:id="3"/>
      <w:r w:rsidRPr="00D447B5">
        <w:rPr>
          <w:sz w:val="22"/>
          <w:szCs w:val="22"/>
          <w:lang w:eastAsia="en-US"/>
        </w:rPr>
        <w:t xml:space="preserve"> zgodnie z art. 464 ust. 8 ustawy z dnia 11</w:t>
      </w:r>
      <w:r w:rsidR="00466880">
        <w:rPr>
          <w:sz w:val="22"/>
          <w:szCs w:val="22"/>
          <w:lang w:eastAsia="en-US"/>
        </w:rPr>
        <w:t xml:space="preserve"> września </w:t>
      </w:r>
      <w:r w:rsidRPr="00D447B5">
        <w:rPr>
          <w:sz w:val="22"/>
          <w:szCs w:val="22"/>
          <w:lang w:eastAsia="en-US"/>
        </w:rPr>
        <w:t>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D447B5">
        <w:rPr>
          <w:sz w:val="22"/>
          <w:szCs w:val="22"/>
          <w:shd w:val="clear" w:color="auto" w:fill="FFFFFF"/>
          <w:lang w:eastAsia="en-US"/>
        </w:rPr>
        <w:lastRenderedPageBreak/>
        <w:t>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1653AAC2"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jak za swoje własne działania lub zaniechania i nie może zwolnić się z tej odpowiedzialności na podstawie art. 429 ustawy z dnia 23</w:t>
      </w:r>
      <w:r w:rsidR="00466880">
        <w:rPr>
          <w:sz w:val="22"/>
          <w:szCs w:val="22"/>
          <w:shd w:val="clear" w:color="auto" w:fill="FFFFFF"/>
          <w:lang w:eastAsia="en-US"/>
        </w:rPr>
        <w:t xml:space="preserve"> kwietnia </w:t>
      </w:r>
      <w:r w:rsidRPr="00D447B5">
        <w:rPr>
          <w:sz w:val="22"/>
          <w:szCs w:val="22"/>
          <w:shd w:val="clear" w:color="auto" w:fill="FFFFFF"/>
          <w:lang w:eastAsia="en-US"/>
        </w:rPr>
        <w:t xml:space="preserve">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36B05986"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DE64E4">
        <w:rPr>
          <w:sz w:val="22"/>
          <w:szCs w:val="22"/>
          <w:lang w:eastAsia="ar-SA"/>
        </w:rPr>
        <w:t>dokumentację powykonawczą w wersji papierowej w</w:t>
      </w:r>
      <w:r w:rsidR="00EA10C6" w:rsidRPr="00DE64E4">
        <w:rPr>
          <w:sz w:val="22"/>
          <w:szCs w:val="22"/>
          <w:lang w:eastAsia="ar-SA"/>
        </w:rPr>
        <w:t> </w:t>
      </w:r>
      <w:r w:rsidRPr="00DE64E4">
        <w:rPr>
          <w:sz w:val="22"/>
          <w:szCs w:val="22"/>
          <w:lang w:eastAsia="ar-SA"/>
        </w:rPr>
        <w:t>2 kompletach oraz jednego w wersji elektro</w:t>
      </w:r>
      <w:r w:rsidR="000077A4" w:rsidRPr="00DE64E4">
        <w:rPr>
          <w:sz w:val="22"/>
          <w:szCs w:val="22"/>
          <w:lang w:eastAsia="ar-SA"/>
        </w:rPr>
        <w:t>nicznej obejmującej</w:t>
      </w:r>
      <w:r w:rsidRPr="00DE64E4">
        <w:rPr>
          <w:sz w:val="22"/>
          <w:szCs w:val="22"/>
          <w:lang w:eastAsia="ar-SA"/>
        </w:rPr>
        <w:t>: oświadczenie kierownika budowy zgodnie z</w:t>
      </w:r>
      <w:r w:rsidR="00752F2C">
        <w:rPr>
          <w:sz w:val="22"/>
          <w:szCs w:val="22"/>
          <w:lang w:eastAsia="ar-SA"/>
        </w:rPr>
        <w:t> </w:t>
      </w:r>
      <w:r w:rsidRPr="00DE64E4">
        <w:rPr>
          <w:sz w:val="22"/>
          <w:szCs w:val="22"/>
          <w:lang w:eastAsia="ar-SA"/>
        </w:rPr>
        <w:t>wymaganiami prawa budowlanego, kosztorysem powykonawczym, wraz</w:t>
      </w:r>
      <w:r w:rsidR="00EA10C6" w:rsidRPr="00DE64E4">
        <w:rPr>
          <w:sz w:val="22"/>
          <w:szCs w:val="22"/>
          <w:lang w:eastAsia="ar-SA"/>
        </w:rPr>
        <w:t xml:space="preserve"> </w:t>
      </w:r>
      <w:r w:rsidRPr="00DE64E4">
        <w:rPr>
          <w:sz w:val="22"/>
          <w:szCs w:val="22"/>
          <w:lang w:eastAsia="ar-SA"/>
        </w:rPr>
        <w:t>ze</w:t>
      </w:r>
      <w:r w:rsidR="00EA10C6" w:rsidRPr="00DE64E4">
        <w:rPr>
          <w:sz w:val="22"/>
          <w:szCs w:val="22"/>
          <w:lang w:eastAsia="ar-SA"/>
        </w:rPr>
        <w:t xml:space="preserve"> </w:t>
      </w:r>
      <w:r w:rsidRPr="00DE64E4">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5FFEC28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w:t>
      </w:r>
      <w:r w:rsidR="00466880">
        <w:rPr>
          <w:sz w:val="22"/>
          <w:szCs w:val="22"/>
          <w:lang w:eastAsia="ar-SA"/>
        </w:rPr>
        <w:t xml:space="preserve"> kwietnia </w:t>
      </w:r>
      <w:r w:rsidRPr="00D447B5">
        <w:rPr>
          <w:sz w:val="22"/>
          <w:szCs w:val="22"/>
          <w:lang w:eastAsia="ar-SA"/>
        </w:rPr>
        <w:t>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5C4CFCDE" w14:textId="0B082F2C"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końcową wystawioną na podstawie protokołu odbioru 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od daty otrzymania przez Zamawiającego wraz z protokołem odbioru</w:t>
      </w:r>
      <w:r w:rsidR="00856846">
        <w:rPr>
          <w:rFonts w:ascii="Times New Roman" w:hAnsi="Times New Roman"/>
          <w:szCs w:val="22"/>
        </w:rPr>
        <w:t xml:space="preserve"> – odpowiednio końcowego</w:t>
      </w:r>
      <w:r w:rsidRPr="00DE64E4">
        <w:rPr>
          <w:rFonts w:ascii="Times New Roman" w:hAnsi="Times New Roman"/>
          <w:szCs w:val="22"/>
        </w:rPr>
        <w:t>, podpisanym przez Inspektora Nadzoru, kopią</w:t>
      </w:r>
      <w:r w:rsidRPr="00D447B5">
        <w:rPr>
          <w:rFonts w:ascii="Times New Roman" w:hAnsi="Times New Roman"/>
          <w:szCs w:val="22"/>
        </w:rPr>
        <w:t xml:space="preserve">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w:t>
      </w:r>
      <w:r w:rsidR="00752F2C">
        <w:rPr>
          <w:rFonts w:ascii="Times New Roman" w:hAnsi="Times New Roman"/>
          <w:szCs w:val="22"/>
        </w:rPr>
        <w:t> </w:t>
      </w:r>
      <w:r w:rsidR="0059029E" w:rsidRPr="00D447B5">
        <w:rPr>
          <w:rFonts w:ascii="Times New Roman" w:hAnsi="Times New Roman"/>
          <w:szCs w:val="22"/>
        </w:rPr>
        <w:t>koniecznością uzyskania uzgodnień, opinii i zezwoleń oraz ekspertyz, warunków technicznych, inwentaryzacji dotyczących treści dokumentacji technicznej, o której mowa w § 1 niniejszej umowy.</w:t>
      </w:r>
    </w:p>
    <w:p w14:paraId="108DAB77" w14:textId="284E70FE"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Strony ustalają, że zapłata wynagrodzenia, o którym mowa w ust. 1, nastąpi na podstawie </w:t>
      </w:r>
      <w:r w:rsidR="00466880" w:rsidRPr="00D447B5">
        <w:rPr>
          <w:rFonts w:ascii="Times New Roman" w:hAnsi="Times New Roman"/>
          <w:szCs w:val="22"/>
        </w:rPr>
        <w:t>faktur</w:t>
      </w:r>
      <w:r w:rsidR="00466880">
        <w:rPr>
          <w:rFonts w:ascii="Times New Roman" w:hAnsi="Times New Roman"/>
          <w:szCs w:val="22"/>
        </w:rPr>
        <w:t>y</w:t>
      </w:r>
      <w:r w:rsidR="008D02B1" w:rsidRPr="00D447B5">
        <w:rPr>
          <w:rFonts w:ascii="Times New Roman" w:hAnsi="Times New Roman"/>
          <w:szCs w:val="22"/>
        </w:rPr>
        <w:t xml:space="preserve"> </w:t>
      </w:r>
      <w:r w:rsidR="00466880" w:rsidRPr="00D447B5">
        <w:rPr>
          <w:rFonts w:ascii="Times New Roman" w:hAnsi="Times New Roman"/>
          <w:szCs w:val="22"/>
        </w:rPr>
        <w:t>wystawian</w:t>
      </w:r>
      <w:r w:rsidR="00466880">
        <w:rPr>
          <w:rFonts w:ascii="Times New Roman" w:hAnsi="Times New Roman"/>
          <w:szCs w:val="22"/>
        </w:rPr>
        <w:t>ej</w:t>
      </w:r>
      <w:r w:rsidRPr="00D447B5">
        <w:rPr>
          <w:rFonts w:ascii="Times New Roman" w:hAnsi="Times New Roman"/>
          <w:szCs w:val="22"/>
        </w:rPr>
        <w:t xml:space="preserve"> przez Wykonawcę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lastRenderedPageBreak/>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4"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54066175"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41B9EB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w:t>
      </w:r>
      <w:r w:rsidR="00466880">
        <w:rPr>
          <w:rFonts w:ascii="Times New Roman" w:hAnsi="Times New Roman"/>
          <w:szCs w:val="22"/>
        </w:rPr>
        <w:t xml:space="preserve"> września </w:t>
      </w:r>
      <w:r w:rsidRPr="00D447B5">
        <w:rPr>
          <w:rFonts w:ascii="Times New Roman" w:hAnsi="Times New Roman"/>
          <w:szCs w:val="22"/>
        </w:rPr>
        <w:t>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4"/>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w:t>
      </w:r>
      <w:r w:rsidRPr="00D447B5">
        <w:rPr>
          <w:sz w:val="22"/>
          <w:szCs w:val="22"/>
          <w:lang w:eastAsia="ar-SA"/>
        </w:rPr>
        <w:lastRenderedPageBreak/>
        <w:t>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8"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7C502C65"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9"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w:t>
      </w:r>
      <w:r w:rsidR="00466880">
        <w:rPr>
          <w:sz w:val="22"/>
          <w:szCs w:val="22"/>
          <w:lang w:eastAsia="en-US"/>
        </w:rPr>
        <w:t xml:space="preserve"> września </w:t>
      </w:r>
      <w:r w:rsidR="00466880" w:rsidRPr="00D447B5">
        <w:rPr>
          <w:sz w:val="22"/>
          <w:szCs w:val="22"/>
          <w:lang w:eastAsia="en-US"/>
        </w:rPr>
        <w:t xml:space="preserve"> </w:t>
      </w:r>
      <w:r w:rsidRPr="00D447B5">
        <w:rPr>
          <w:sz w:val="22"/>
          <w:szCs w:val="22"/>
          <w:lang w:eastAsia="en-US"/>
        </w:rPr>
        <w:t>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26CA05DE"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w:t>
      </w:r>
      <w:r w:rsidR="00466880">
        <w:rPr>
          <w:sz w:val="22"/>
          <w:szCs w:val="22"/>
          <w:lang w:eastAsia="en-US"/>
        </w:rPr>
        <w:t xml:space="preserve"> kwietnia </w:t>
      </w:r>
      <w:r w:rsidR="00466880" w:rsidRPr="00D447B5">
        <w:rPr>
          <w:sz w:val="22"/>
          <w:szCs w:val="22"/>
          <w:lang w:eastAsia="en-US"/>
        </w:rPr>
        <w:t xml:space="preserve"> </w:t>
      </w:r>
      <w:r w:rsidRPr="00D447B5">
        <w:rPr>
          <w:sz w:val="22"/>
          <w:szCs w:val="22"/>
          <w:lang w:eastAsia="en-US"/>
        </w:rPr>
        <w:t>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 xml:space="preserve">ocznie roboty nie później niż </w:t>
      </w:r>
      <w:r w:rsidR="005C51EC" w:rsidRPr="00D447B5">
        <w:rPr>
          <w:sz w:val="22"/>
          <w:szCs w:val="22"/>
          <w:lang w:eastAsia="en-US"/>
        </w:rPr>
        <w:lastRenderedPageBreak/>
        <w:t>w </w:t>
      </w:r>
      <w:r w:rsidRPr="00D447B5">
        <w:rPr>
          <w:sz w:val="22"/>
          <w:szCs w:val="22"/>
          <w:lang w:eastAsia="en-US"/>
        </w:rPr>
        <w:t xml:space="preserve">10 dniu przed upływem okresu gwarancji a zakończy je protokołem nie później niż w ostatnim dniu tego okresu. </w:t>
      </w:r>
    </w:p>
    <w:p w14:paraId="5E82F566" w14:textId="58F4C094"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w:t>
      </w:r>
      <w:r w:rsidR="00466880">
        <w:rPr>
          <w:sz w:val="22"/>
          <w:szCs w:val="22"/>
          <w:lang w:eastAsia="en-US"/>
        </w:rPr>
        <w:t xml:space="preserve"> kwietnia </w:t>
      </w:r>
      <w:r w:rsidRPr="00D447B5">
        <w:rPr>
          <w:sz w:val="22"/>
          <w:szCs w:val="22"/>
          <w:lang w:eastAsia="en-US"/>
        </w:rPr>
        <w:t>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1DFCDD13" w14:textId="66F8211B" w:rsidR="00A72033" w:rsidRPr="00466880" w:rsidRDefault="00D447B5" w:rsidP="00466880">
      <w:pPr>
        <w:pStyle w:val="Akapitzlist"/>
        <w:numPr>
          <w:ilvl w:val="0"/>
          <w:numId w:val="42"/>
        </w:numPr>
        <w:suppressAutoHyphens w:val="0"/>
        <w:ind w:left="284" w:hanging="284"/>
        <w:contextualSpacing/>
        <w:jc w:val="both"/>
        <w:rPr>
          <w:rFonts w:ascii="Times New Roman" w:hAnsi="Times New Roman"/>
          <w:szCs w:val="22"/>
        </w:rPr>
      </w:pPr>
      <w:r w:rsidRPr="00466880">
        <w:rPr>
          <w:rFonts w:ascii="Times New Roman" w:hAnsi="Times New Roman"/>
          <w:szCs w:val="22"/>
        </w:rPr>
        <w:t xml:space="preserve">Na podstawie art. 95 ustawy Pzp, </w:t>
      </w:r>
      <w:r w:rsidRPr="00E25B01">
        <w:rPr>
          <w:rFonts w:ascii="Times New Roman" w:hAnsi="Times New Roman"/>
          <w:szCs w:val="22"/>
        </w:rPr>
        <w:t xml:space="preserve">Zamawiający wymaga zatrudnienia na podstawie umowy o pracę przez wykonawcę lub podwykonawcę osób wykonujących </w:t>
      </w:r>
      <w:r w:rsidRPr="009C5C44">
        <w:rPr>
          <w:rFonts w:ascii="Times New Roman" w:hAnsi="Times New Roman"/>
          <w:szCs w:val="22"/>
        </w:rPr>
        <w:t>wskazane poniżej czynności w trakcie realizacji zamówienia:</w:t>
      </w:r>
      <w:r w:rsidR="00466880" w:rsidRPr="009C5C44">
        <w:rPr>
          <w:rFonts w:ascii="Times New Roman" w:hAnsi="Times New Roman"/>
          <w:szCs w:val="22"/>
        </w:rPr>
        <w:t xml:space="preserve"> </w:t>
      </w:r>
      <w:r w:rsidR="00EE7D12" w:rsidRPr="009C5C44">
        <w:rPr>
          <w:rFonts w:ascii="Times New Roman" w:hAnsi="Times New Roman"/>
          <w:szCs w:val="22"/>
        </w:rPr>
        <w:t xml:space="preserve">wykonanie odwiertów, </w:t>
      </w:r>
      <w:r w:rsidR="009C5C44" w:rsidRPr="009C5C44">
        <w:rPr>
          <w:rFonts w:ascii="Times New Roman" w:hAnsi="Times New Roman"/>
          <w:szCs w:val="22"/>
        </w:rPr>
        <w:t>montaż i uruchomienie pompy ciepła</w:t>
      </w:r>
      <w:r w:rsidR="00DA1E45" w:rsidRPr="009C5C44">
        <w:rPr>
          <w:rFonts w:ascii="Times New Roman" w:hAnsi="Times New Roman"/>
          <w:szCs w:val="22"/>
        </w:rPr>
        <w:t>.</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3D0132A" w:rsidR="00972E88"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9C5C44">
        <w:rPr>
          <w:sz w:val="22"/>
          <w:szCs w:val="22"/>
        </w:rPr>
        <w:t xml:space="preserve"> </w:t>
      </w:r>
      <w:r w:rsidRPr="00D447B5">
        <w:rPr>
          <w:sz w:val="22"/>
          <w:szCs w:val="22"/>
        </w:rPr>
        <w:t xml:space="preserve">. </w:t>
      </w:r>
    </w:p>
    <w:p w14:paraId="2B330319" w14:textId="6888B644" w:rsidR="009C5C44" w:rsidRDefault="009C5C44" w:rsidP="00AC695F">
      <w:pPr>
        <w:numPr>
          <w:ilvl w:val="0"/>
          <w:numId w:val="6"/>
        </w:numPr>
        <w:spacing w:line="276" w:lineRule="auto"/>
        <w:ind w:left="284" w:hanging="284"/>
        <w:contextualSpacing/>
        <w:jc w:val="both"/>
        <w:rPr>
          <w:sz w:val="22"/>
          <w:szCs w:val="22"/>
        </w:rPr>
      </w:pPr>
      <w:r>
        <w:rPr>
          <w:sz w:val="22"/>
          <w:szCs w:val="22"/>
        </w:rPr>
        <w:t xml:space="preserve">Głównym projektantem będzie wskazany przez Wykonawcę </w:t>
      </w:r>
      <w:r w:rsidRPr="00D447B5">
        <w:rPr>
          <w:b/>
          <w:sz w:val="22"/>
          <w:szCs w:val="22"/>
        </w:rPr>
        <w:t>……………..</w:t>
      </w:r>
      <w:r w:rsidRPr="00D447B5">
        <w:rPr>
          <w:sz w:val="22"/>
          <w:szCs w:val="22"/>
        </w:rPr>
        <w:t>, nr tel.  ……………………, posiadający uprawnienia budowlane  nr …………..</w:t>
      </w:r>
      <w:r>
        <w:rPr>
          <w:sz w:val="22"/>
          <w:szCs w:val="22"/>
        </w:rPr>
        <w:t xml:space="preserve"> </w:t>
      </w:r>
      <w:r w:rsidRPr="00D447B5">
        <w:rPr>
          <w:sz w:val="22"/>
          <w:szCs w:val="22"/>
        </w:rPr>
        <w:t>.</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005F2311"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w:t>
      </w:r>
      <w:r w:rsidR="00466880">
        <w:rPr>
          <w:sz w:val="22"/>
          <w:szCs w:val="22"/>
          <w:lang w:eastAsia="en-US"/>
        </w:rPr>
        <w:t xml:space="preserve"> września </w:t>
      </w:r>
      <w:r w:rsidRPr="00D447B5">
        <w:rPr>
          <w:sz w:val="22"/>
          <w:szCs w:val="22"/>
          <w:lang w:eastAsia="en-US"/>
        </w:rPr>
        <w:t xml:space="preserve">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AB49011"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w:t>
      </w:r>
      <w:r w:rsidR="00466880">
        <w:rPr>
          <w:sz w:val="22"/>
          <w:szCs w:val="22"/>
        </w:rPr>
        <w:t xml:space="preserve"> marca </w:t>
      </w:r>
      <w:r w:rsidR="005E0C95" w:rsidRPr="00D447B5">
        <w:rPr>
          <w:sz w:val="22"/>
          <w:szCs w:val="22"/>
        </w:rPr>
        <w:t>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lastRenderedPageBreak/>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 xml:space="preserve">ustalenie wartości robót zamiennych nastąpi na podstawie kosztorysu sporządzonego przez Wykonawcę w oparciu o następujące założenia: średnie stawki robocizny, materiałów </w:t>
      </w:r>
      <w:r w:rsidRPr="00D447B5">
        <w:rPr>
          <w:sz w:val="22"/>
          <w:szCs w:val="22"/>
        </w:rPr>
        <w:lastRenderedPageBreak/>
        <w:t>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lastRenderedPageBreak/>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10"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2E54D4BD"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9C5C44">
        <w:rPr>
          <w:b/>
          <w:sz w:val="22"/>
          <w:szCs w:val="22"/>
        </w:rPr>
        <w:t>12</w:t>
      </w:r>
      <w:r w:rsidR="00921CA7">
        <w:rPr>
          <w:b/>
          <w:sz w:val="22"/>
          <w:szCs w:val="22"/>
        </w:rPr>
        <w:t>.2025</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lastRenderedPageBreak/>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4B58BF8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w:t>
      </w:r>
      <w:r w:rsidR="008841D1">
        <w:rPr>
          <w:color w:val="000000"/>
          <w:sz w:val="22"/>
          <w:szCs w:val="22"/>
        </w:rPr>
        <w:t>to zostanie poddany pod rozstrzygnięcie przed sądem właściwym dla rozstrzygnięcia sporów będzie sąd właściwy dla siedziby zamawiającego</w:t>
      </w:r>
      <w:r w:rsidRPr="00D447B5">
        <w:rPr>
          <w:color w:val="000000"/>
          <w:sz w:val="22"/>
          <w:szCs w:val="22"/>
        </w:rPr>
        <w:t>.</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 xml:space="preserve">Wykonawca zobowiązuje się do zachowania w tajemnicy nieujawnionych do wiadomości publicznej informacji organizacyjnych, finansowych, handlowych, technicznych Zamawiającego, w posiadanie </w:t>
      </w:r>
      <w:r w:rsidRPr="00D447B5">
        <w:rPr>
          <w:sz w:val="22"/>
          <w:szCs w:val="22"/>
          <w:lang w:eastAsia="en-GB"/>
        </w:rPr>
        <w:lastRenderedPageBreak/>
        <w:t>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25F13"/>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9"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2"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4"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7"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0"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5"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8"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9"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0"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CD0474"/>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6"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7"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1"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4"/>
  </w:num>
  <w:num w:numId="2" w16cid:durableId="26835460">
    <w:abstractNumId w:val="48"/>
  </w:num>
  <w:num w:numId="3" w16cid:durableId="1475830967">
    <w:abstractNumId w:val="44"/>
  </w:num>
  <w:num w:numId="4" w16cid:durableId="484661841">
    <w:abstractNumId w:val="11"/>
  </w:num>
  <w:num w:numId="5" w16cid:durableId="1613433625">
    <w:abstractNumId w:val="5"/>
  </w:num>
  <w:num w:numId="6" w16cid:durableId="8911166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9"/>
  </w:num>
  <w:num w:numId="8" w16cid:durableId="1296522668">
    <w:abstractNumId w:val="18"/>
  </w:num>
  <w:num w:numId="9" w16cid:durableId="1537085691">
    <w:abstractNumId w:val="46"/>
  </w:num>
  <w:num w:numId="10" w16cid:durableId="759910478">
    <w:abstractNumId w:val="8"/>
  </w:num>
  <w:num w:numId="11" w16cid:durableId="119349565">
    <w:abstractNumId w:val="38"/>
  </w:num>
  <w:num w:numId="12" w16cid:durableId="1829131402">
    <w:abstractNumId w:val="49"/>
  </w:num>
  <w:num w:numId="13" w16cid:durableId="732851288">
    <w:abstractNumId w:val="15"/>
  </w:num>
  <w:num w:numId="14" w16cid:durableId="1271276534">
    <w:abstractNumId w:val="22"/>
  </w:num>
  <w:num w:numId="15" w16cid:durableId="1020354895">
    <w:abstractNumId w:val="24"/>
  </w:num>
  <w:num w:numId="16" w16cid:durableId="501166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5"/>
  </w:num>
  <w:num w:numId="18" w16cid:durableId="950162131">
    <w:abstractNumId w:val="42"/>
  </w:num>
  <w:num w:numId="19" w16cid:durableId="440221306">
    <w:abstractNumId w:val="45"/>
  </w:num>
  <w:num w:numId="20" w16cid:durableId="1809854027">
    <w:abstractNumId w:val="31"/>
  </w:num>
  <w:num w:numId="21" w16cid:durableId="1269240059">
    <w:abstractNumId w:val="10"/>
  </w:num>
  <w:num w:numId="22" w16cid:durableId="439683848">
    <w:abstractNumId w:val="27"/>
  </w:num>
  <w:num w:numId="23" w16cid:durableId="2007171130">
    <w:abstractNumId w:val="38"/>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21"/>
  </w:num>
  <w:num w:numId="25" w16cid:durableId="1897230879">
    <w:abstractNumId w:val="33"/>
  </w:num>
  <w:num w:numId="26" w16cid:durableId="520437949">
    <w:abstractNumId w:val="30"/>
  </w:num>
  <w:num w:numId="27" w16cid:durableId="1936162263">
    <w:abstractNumId w:val="36"/>
  </w:num>
  <w:num w:numId="28" w16cid:durableId="584608831">
    <w:abstractNumId w:val="37"/>
  </w:num>
  <w:num w:numId="29" w16cid:durableId="1306935738">
    <w:abstractNumId w:val="26"/>
  </w:num>
  <w:num w:numId="30" w16cid:durableId="716583119">
    <w:abstractNumId w:val="17"/>
  </w:num>
  <w:num w:numId="31" w16cid:durableId="1780028034">
    <w:abstractNumId w:val="23"/>
  </w:num>
  <w:num w:numId="32" w16cid:durableId="575866423">
    <w:abstractNumId w:val="4"/>
  </w:num>
  <w:num w:numId="33" w16cid:durableId="1628003482">
    <w:abstractNumId w:val="32"/>
  </w:num>
  <w:num w:numId="34" w16cid:durableId="1847329627">
    <w:abstractNumId w:val="50"/>
  </w:num>
  <w:num w:numId="35" w16cid:durableId="197478096">
    <w:abstractNumId w:val="50"/>
    <w:lvlOverride w:ilvl="0">
      <w:startOverride w:val="1"/>
    </w:lvlOverride>
  </w:num>
  <w:num w:numId="36" w16cid:durableId="1695376597">
    <w:abstractNumId w:val="20"/>
  </w:num>
  <w:num w:numId="37" w16cid:durableId="1756053633">
    <w:abstractNumId w:val="47"/>
  </w:num>
  <w:num w:numId="38" w16cid:durableId="1774978412">
    <w:abstractNumId w:val="19"/>
  </w:num>
  <w:num w:numId="39" w16cid:durableId="1452699164">
    <w:abstractNumId w:val="6"/>
  </w:num>
  <w:num w:numId="40" w16cid:durableId="2125994534">
    <w:abstractNumId w:val="39"/>
  </w:num>
  <w:num w:numId="41" w16cid:durableId="2045514677">
    <w:abstractNumId w:val="14"/>
  </w:num>
  <w:num w:numId="42" w16cid:durableId="345375406">
    <w:abstractNumId w:val="2"/>
  </w:num>
  <w:num w:numId="43" w16cid:durableId="2132896660">
    <w:abstractNumId w:val="16"/>
  </w:num>
  <w:num w:numId="44" w16cid:durableId="1931893110">
    <w:abstractNumId w:val="43"/>
  </w:num>
  <w:num w:numId="45" w16cid:durableId="1172254693">
    <w:abstractNumId w:val="0"/>
  </w:num>
  <w:num w:numId="46" w16cid:durableId="1567716339">
    <w:abstractNumId w:val="3"/>
  </w:num>
  <w:num w:numId="47" w16cid:durableId="1920865560">
    <w:abstractNumId w:val="13"/>
  </w:num>
  <w:num w:numId="48" w16cid:durableId="1667394956">
    <w:abstractNumId w:val="28"/>
  </w:num>
  <w:num w:numId="49" w16cid:durableId="1193149087">
    <w:abstractNumId w:val="9"/>
  </w:num>
  <w:num w:numId="50" w16cid:durableId="1678800574">
    <w:abstractNumId w:val="40"/>
  </w:num>
  <w:num w:numId="51" w16cid:durableId="240331565">
    <w:abstractNumId w:val="1"/>
  </w:num>
  <w:num w:numId="52" w16cid:durableId="792134906">
    <w:abstractNumId w:val="7"/>
  </w:num>
  <w:num w:numId="53" w16cid:durableId="2101295609">
    <w:abstractNumId w:val="12"/>
  </w:num>
  <w:num w:numId="54" w16cid:durableId="92419142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0508"/>
    <w:rsid w:val="00065C21"/>
    <w:rsid w:val="00075893"/>
    <w:rsid w:val="00090AA7"/>
    <w:rsid w:val="00095E9F"/>
    <w:rsid w:val="000964E3"/>
    <w:rsid w:val="00097FDC"/>
    <w:rsid w:val="000A7DF0"/>
    <w:rsid w:val="000B0510"/>
    <w:rsid w:val="000B395C"/>
    <w:rsid w:val="000C3FD6"/>
    <w:rsid w:val="000C71A2"/>
    <w:rsid w:val="000D0CA9"/>
    <w:rsid w:val="000D33FD"/>
    <w:rsid w:val="000D7637"/>
    <w:rsid w:val="00102C2E"/>
    <w:rsid w:val="001146CB"/>
    <w:rsid w:val="00120E5C"/>
    <w:rsid w:val="00122147"/>
    <w:rsid w:val="00131F2B"/>
    <w:rsid w:val="00135BFA"/>
    <w:rsid w:val="00140A72"/>
    <w:rsid w:val="0015098D"/>
    <w:rsid w:val="00151717"/>
    <w:rsid w:val="00157617"/>
    <w:rsid w:val="00161632"/>
    <w:rsid w:val="00164356"/>
    <w:rsid w:val="00164A22"/>
    <w:rsid w:val="0017117E"/>
    <w:rsid w:val="00172374"/>
    <w:rsid w:val="00172A61"/>
    <w:rsid w:val="001A0C06"/>
    <w:rsid w:val="001A59EC"/>
    <w:rsid w:val="001A6EE7"/>
    <w:rsid w:val="001B1009"/>
    <w:rsid w:val="001B1C6E"/>
    <w:rsid w:val="001B7E4F"/>
    <w:rsid w:val="001C2A89"/>
    <w:rsid w:val="001D7900"/>
    <w:rsid w:val="001F1556"/>
    <w:rsid w:val="001F2BA9"/>
    <w:rsid w:val="002038E6"/>
    <w:rsid w:val="002172FC"/>
    <w:rsid w:val="002218DB"/>
    <w:rsid w:val="00225724"/>
    <w:rsid w:val="002274DF"/>
    <w:rsid w:val="00227DDC"/>
    <w:rsid w:val="00231592"/>
    <w:rsid w:val="00231AFC"/>
    <w:rsid w:val="00234DC9"/>
    <w:rsid w:val="00241423"/>
    <w:rsid w:val="00241974"/>
    <w:rsid w:val="00253A6D"/>
    <w:rsid w:val="00265DC2"/>
    <w:rsid w:val="00266846"/>
    <w:rsid w:val="00272F8A"/>
    <w:rsid w:val="00284EAE"/>
    <w:rsid w:val="00296412"/>
    <w:rsid w:val="002B0D61"/>
    <w:rsid w:val="002B2D65"/>
    <w:rsid w:val="002B3602"/>
    <w:rsid w:val="002B6715"/>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66880"/>
    <w:rsid w:val="00483751"/>
    <w:rsid w:val="004A1916"/>
    <w:rsid w:val="004A61A1"/>
    <w:rsid w:val="004A6F42"/>
    <w:rsid w:val="004B2E3F"/>
    <w:rsid w:val="004B3DDE"/>
    <w:rsid w:val="004B46C3"/>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1C64"/>
    <w:rsid w:val="00676923"/>
    <w:rsid w:val="006A30D9"/>
    <w:rsid w:val="006C3466"/>
    <w:rsid w:val="006E5F75"/>
    <w:rsid w:val="006E6396"/>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7E5F72"/>
    <w:rsid w:val="008005A9"/>
    <w:rsid w:val="00807780"/>
    <w:rsid w:val="00813E28"/>
    <w:rsid w:val="00820604"/>
    <w:rsid w:val="008271C4"/>
    <w:rsid w:val="00850CE0"/>
    <w:rsid w:val="00856846"/>
    <w:rsid w:val="008673F7"/>
    <w:rsid w:val="00871F02"/>
    <w:rsid w:val="00877B43"/>
    <w:rsid w:val="008811E2"/>
    <w:rsid w:val="008833E2"/>
    <w:rsid w:val="008841D1"/>
    <w:rsid w:val="00896EC4"/>
    <w:rsid w:val="008C0121"/>
    <w:rsid w:val="008C1571"/>
    <w:rsid w:val="008C6A64"/>
    <w:rsid w:val="008D02B1"/>
    <w:rsid w:val="008D0476"/>
    <w:rsid w:val="008E7DDF"/>
    <w:rsid w:val="008F779F"/>
    <w:rsid w:val="00903B57"/>
    <w:rsid w:val="00921CA7"/>
    <w:rsid w:val="009221D3"/>
    <w:rsid w:val="00925297"/>
    <w:rsid w:val="009260AF"/>
    <w:rsid w:val="0093055E"/>
    <w:rsid w:val="00936680"/>
    <w:rsid w:val="0094244C"/>
    <w:rsid w:val="00946002"/>
    <w:rsid w:val="0095342C"/>
    <w:rsid w:val="009601E9"/>
    <w:rsid w:val="00972E88"/>
    <w:rsid w:val="00991D1F"/>
    <w:rsid w:val="00995050"/>
    <w:rsid w:val="009950CD"/>
    <w:rsid w:val="00995EF2"/>
    <w:rsid w:val="00996B97"/>
    <w:rsid w:val="009A53C0"/>
    <w:rsid w:val="009B2F99"/>
    <w:rsid w:val="009C26A9"/>
    <w:rsid w:val="009C3229"/>
    <w:rsid w:val="009C5C44"/>
    <w:rsid w:val="009D2EF1"/>
    <w:rsid w:val="009D6A64"/>
    <w:rsid w:val="009E0F52"/>
    <w:rsid w:val="009F6708"/>
    <w:rsid w:val="009F6E81"/>
    <w:rsid w:val="00A00977"/>
    <w:rsid w:val="00A05298"/>
    <w:rsid w:val="00A05760"/>
    <w:rsid w:val="00A0578C"/>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07D3D"/>
    <w:rsid w:val="00C11F89"/>
    <w:rsid w:val="00C200FA"/>
    <w:rsid w:val="00C22431"/>
    <w:rsid w:val="00C30A9B"/>
    <w:rsid w:val="00C334E0"/>
    <w:rsid w:val="00C34E1F"/>
    <w:rsid w:val="00C3613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5C57"/>
    <w:rsid w:val="00D77206"/>
    <w:rsid w:val="00D81A12"/>
    <w:rsid w:val="00D833E4"/>
    <w:rsid w:val="00DA1E45"/>
    <w:rsid w:val="00DB574E"/>
    <w:rsid w:val="00DC64AB"/>
    <w:rsid w:val="00DD0D24"/>
    <w:rsid w:val="00DD25E1"/>
    <w:rsid w:val="00DD6828"/>
    <w:rsid w:val="00DE0B03"/>
    <w:rsid w:val="00DE3A88"/>
    <w:rsid w:val="00DE64E4"/>
    <w:rsid w:val="00DE712E"/>
    <w:rsid w:val="00DF04DE"/>
    <w:rsid w:val="00E0003A"/>
    <w:rsid w:val="00E034CE"/>
    <w:rsid w:val="00E0473A"/>
    <w:rsid w:val="00E07AC1"/>
    <w:rsid w:val="00E103CA"/>
    <w:rsid w:val="00E10B75"/>
    <w:rsid w:val="00E1234D"/>
    <w:rsid w:val="00E24103"/>
    <w:rsid w:val="00E25B01"/>
    <w:rsid w:val="00E347D8"/>
    <w:rsid w:val="00E367ED"/>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E7D12"/>
    <w:rsid w:val="00EF5275"/>
    <w:rsid w:val="00F030E7"/>
    <w:rsid w:val="00F07201"/>
    <w:rsid w:val="00F1007F"/>
    <w:rsid w:val="00F15E0D"/>
    <w:rsid w:val="00F174AC"/>
    <w:rsid w:val="00F2782B"/>
    <w:rsid w:val="00F32382"/>
    <w:rsid w:val="00F420E7"/>
    <w:rsid w:val="00F44481"/>
    <w:rsid w:val="00F45A3E"/>
    <w:rsid w:val="00F462C1"/>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ob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s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E48-3AB8-4E43-A3B5-B77DAA1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20</Pages>
  <Words>9251</Words>
  <Characters>61469</Characters>
  <Application>Microsoft Office Word</Application>
  <DocSecurity>0</DocSecurity>
  <Lines>512</Lines>
  <Paragraphs>141</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50</cp:revision>
  <cp:lastPrinted>2024-07-11T10:27:00Z</cp:lastPrinted>
  <dcterms:created xsi:type="dcterms:W3CDTF">2022-08-25T13:09:00Z</dcterms:created>
  <dcterms:modified xsi:type="dcterms:W3CDTF">2025-05-21T12:30:00Z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