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125D4E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231ED3A8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(t.j. Dz. U. 202</w:t>
      </w:r>
      <w:r w:rsidR="00015FA3">
        <w:rPr>
          <w:bCs/>
          <w:sz w:val="28"/>
          <w:szCs w:val="28"/>
        </w:rPr>
        <w:t>4</w:t>
      </w:r>
      <w:r w:rsidR="00CE715D" w:rsidRPr="00CE715D">
        <w:rPr>
          <w:bCs/>
          <w:sz w:val="28"/>
          <w:szCs w:val="28"/>
        </w:rPr>
        <w:t xml:space="preserve">r. poz. </w:t>
      </w:r>
      <w:r w:rsidR="00015FA3">
        <w:rPr>
          <w:bCs/>
          <w:sz w:val="28"/>
          <w:szCs w:val="28"/>
        </w:rPr>
        <w:t>1320)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5E16BE9B" w:rsidR="00CE715D" w:rsidRPr="00CE715D" w:rsidRDefault="00CE715D" w:rsidP="002D1B0C">
      <w:pPr>
        <w:jc w:val="center"/>
        <w:rPr>
          <w:b/>
          <w:bCs/>
          <w:sz w:val="28"/>
          <w:szCs w:val="28"/>
        </w:rPr>
      </w:pPr>
      <w:bookmarkStart w:id="0" w:name="_Hlk164372345"/>
      <w:r w:rsidRPr="00CE715D">
        <w:rPr>
          <w:b/>
          <w:bCs/>
          <w:sz w:val="28"/>
          <w:szCs w:val="28"/>
        </w:rPr>
        <w:t>„Odbiór i zagospodarowanie odpadów o kodzie ex 19 05 03”</w:t>
      </w:r>
    </w:p>
    <w:bookmarkEnd w:id="0"/>
    <w:p w14:paraId="15000904" w14:textId="4F5CF81D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015FA3">
        <w:rPr>
          <w:b/>
          <w:bCs/>
          <w:sz w:val="24"/>
          <w:szCs w:val="24"/>
        </w:rPr>
        <w:t>2</w:t>
      </w:r>
      <w:r w:rsidR="00CF5FC0" w:rsidRPr="00CF5FC0">
        <w:rPr>
          <w:b/>
          <w:bCs/>
          <w:sz w:val="24"/>
          <w:szCs w:val="24"/>
        </w:rPr>
        <w:t>/ZP/202</w:t>
      </w:r>
      <w:r w:rsidR="00015FA3">
        <w:rPr>
          <w:b/>
          <w:bCs/>
          <w:sz w:val="24"/>
          <w:szCs w:val="24"/>
        </w:rPr>
        <w:t>5</w:t>
      </w:r>
    </w:p>
    <w:p w14:paraId="774AA8A6" w14:textId="77777777" w:rsidR="00015FA3" w:rsidRDefault="00015FA3" w:rsidP="002D1B0C">
      <w:pPr>
        <w:jc w:val="center"/>
        <w:rPr>
          <w:b/>
          <w:bCs/>
          <w:sz w:val="24"/>
          <w:szCs w:val="24"/>
        </w:rPr>
      </w:pP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36F0D32A" w14:textId="358F3F97" w:rsidR="00015FA3" w:rsidRDefault="00262BB0" w:rsidP="00AC6630">
      <w:pPr>
        <w:rPr>
          <w:bCs/>
        </w:rPr>
      </w:pPr>
      <w:r w:rsidRPr="00262BB0">
        <w:rPr>
          <w:bCs/>
        </w:rPr>
        <w:t>Bolesław, dn</w:t>
      </w:r>
      <w:r w:rsidR="002C14A9">
        <w:rPr>
          <w:bCs/>
        </w:rPr>
        <w:t xml:space="preserve">. </w:t>
      </w:r>
      <w:r w:rsidR="00015FA3">
        <w:rPr>
          <w:bCs/>
        </w:rPr>
        <w:t>14</w:t>
      </w:r>
      <w:r w:rsidR="004B3E20" w:rsidRPr="00E40B61">
        <w:rPr>
          <w:bCs/>
        </w:rPr>
        <w:t>.</w:t>
      </w:r>
      <w:r w:rsidR="00FF17B8">
        <w:rPr>
          <w:bCs/>
        </w:rPr>
        <w:t>0</w:t>
      </w:r>
      <w:r w:rsidR="00015FA3">
        <w:rPr>
          <w:bCs/>
        </w:rPr>
        <w:t>2</w:t>
      </w:r>
      <w:r w:rsidR="004B3E20">
        <w:rPr>
          <w:bCs/>
        </w:rPr>
        <w:t>.202</w:t>
      </w:r>
      <w:r w:rsidR="00015FA3">
        <w:rPr>
          <w:bCs/>
        </w:rPr>
        <w:t>5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</w:p>
    <w:p w14:paraId="227422DF" w14:textId="77777777" w:rsidR="00015FA3" w:rsidRDefault="00015FA3" w:rsidP="00AC6630">
      <w:pPr>
        <w:rPr>
          <w:bCs/>
        </w:rPr>
      </w:pPr>
    </w:p>
    <w:p w14:paraId="1AE7BAD6" w14:textId="4FE1BF49" w:rsidR="00AC6630" w:rsidRPr="00E87002" w:rsidRDefault="00262BB0" w:rsidP="00AC663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D3DFC6C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Łukasz Bazan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numer telefonu: 32 646 11 48</w:t>
      </w:r>
    </w:p>
    <w:p w14:paraId="6BA827FB" w14:textId="732E5DDB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adres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bazan@zgkboleslaw.com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stały dostęp do sieci Internet o gwarantowanej przepustowości nie mniejszej niż 512 kb/s,</w:t>
      </w:r>
    </w:p>
    <w:p w14:paraId="71149BBC" w14:textId="60A2C088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zainstalowany program Adobe Acrobat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7A9DDF26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 xml:space="preserve">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73AC64BF" w:rsidR="009C05EC" w:rsidRPr="008D25EC" w:rsidRDefault="009C05EC" w:rsidP="002D15D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015FA3">
        <w:rPr>
          <w:rFonts w:asciiTheme="majorHAnsi" w:hAnsiTheme="majorHAnsi"/>
          <w:sz w:val="24"/>
          <w:szCs w:val="24"/>
        </w:rPr>
        <w:t>2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015FA3">
        <w:rPr>
          <w:rFonts w:asciiTheme="majorHAnsi" w:hAnsiTheme="majorHAnsi"/>
          <w:sz w:val="24"/>
          <w:szCs w:val="24"/>
        </w:rPr>
        <w:t>5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</w:t>
      </w:r>
      <w:r w:rsidR="00015FA3">
        <w:rPr>
          <w:rFonts w:asciiTheme="majorHAnsi" w:hAnsiTheme="majorHAnsi" w:cstheme="majorHAnsi"/>
          <w:bCs/>
          <w:sz w:val="24"/>
          <w:szCs w:val="24"/>
        </w:rPr>
        <w:t>4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r. poz. 1</w:t>
      </w:r>
      <w:r w:rsidR="00015FA3">
        <w:rPr>
          <w:rFonts w:asciiTheme="majorHAnsi" w:hAnsiTheme="majorHAnsi" w:cstheme="majorHAnsi"/>
          <w:bCs/>
          <w:sz w:val="24"/>
          <w:szCs w:val="24"/>
        </w:rPr>
        <w:t>320)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>zwanej dalej PZP oraz w sprawach nie uregulowanych niniejszą ustawą, przepisy ustawy – Kodeks cywilny.</w:t>
      </w:r>
    </w:p>
    <w:p w14:paraId="4581FD92" w14:textId="77777777" w:rsidR="008D25EC" w:rsidRPr="00E87045" w:rsidRDefault="008D25EC" w:rsidP="002D15D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271A48E8" w:rsidR="00D47311" w:rsidRPr="00D47311" w:rsidRDefault="00AC6630" w:rsidP="002D15D2">
      <w:pPr>
        <w:pStyle w:val="Akapitzlist"/>
        <w:numPr>
          <w:ilvl w:val="3"/>
          <w:numId w:val="24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ex 19 05 03 (kompost nieodpowiadający wymaganiom (nienadający się do wykorzystania) wytworzony </w:t>
      </w:r>
      <w:r w:rsidR="002D15D2">
        <w:rPr>
          <w:rFonts w:asciiTheme="majorHAnsi" w:hAnsiTheme="majorHAnsi"/>
          <w:b/>
          <w:sz w:val="24"/>
          <w:szCs w:val="24"/>
        </w:rPr>
        <w:br/>
      </w:r>
      <w:r w:rsidR="009A634E" w:rsidRPr="009A634E">
        <w:rPr>
          <w:rFonts w:asciiTheme="majorHAnsi" w:hAnsiTheme="majorHAnsi"/>
          <w:b/>
          <w:sz w:val="24"/>
          <w:szCs w:val="24"/>
        </w:rPr>
        <w:t>z odpadów zielonych i innych bioodpadów zbieranych selektywnie)</w:t>
      </w:r>
      <w:r w:rsidR="009A634E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C6630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C6630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13B9FE52" w14:textId="7A1755A2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7A9D3E79" w14:textId="4190883D" w:rsidR="00001724" w:rsidRDefault="00001724" w:rsidP="00001724">
      <w:pPr>
        <w:jc w:val="both"/>
        <w:rPr>
          <w:rFonts w:asciiTheme="majorHAnsi" w:hAnsiTheme="majorHAnsi"/>
          <w:sz w:val="24"/>
          <w:szCs w:val="24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30 00-</w:t>
      </w:r>
      <w:r w:rsidR="009A5F94" w:rsidRPr="0077448E">
        <w:rPr>
          <w:rFonts w:asciiTheme="majorHAnsi" w:hAnsiTheme="majorHAnsi"/>
          <w:b/>
          <w:bCs/>
          <w:sz w:val="24"/>
          <w:szCs w:val="24"/>
        </w:rPr>
        <w:t>6</w:t>
      </w:r>
      <w:r w:rsidR="009A5F94">
        <w:rPr>
          <w:rFonts w:asciiTheme="majorHAnsi" w:hAnsiTheme="majorHAnsi"/>
          <w:sz w:val="24"/>
          <w:szCs w:val="24"/>
        </w:rPr>
        <w:t xml:space="preserve"> </w:t>
      </w:r>
      <w:r w:rsidR="009A5F94" w:rsidRPr="00001724">
        <w:rPr>
          <w:rFonts w:asciiTheme="majorHAnsi" w:hAnsiTheme="majorHAnsi"/>
          <w:sz w:val="24"/>
          <w:szCs w:val="24"/>
        </w:rPr>
        <w:t>Usługi</w:t>
      </w:r>
      <w:r w:rsidRPr="00001724">
        <w:rPr>
          <w:rFonts w:asciiTheme="majorHAnsi" w:hAnsiTheme="majorHAnsi"/>
          <w:sz w:val="24"/>
          <w:szCs w:val="24"/>
        </w:rPr>
        <w:t xml:space="preserve"> obróbki i usuwania odpadów które nie są niebezpieczne  </w:t>
      </w:r>
    </w:p>
    <w:p w14:paraId="258D7C26" w14:textId="5EB7879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77448E">
        <w:rPr>
          <w:rFonts w:asciiTheme="majorHAnsi" w:hAnsiTheme="majorHAnsi"/>
          <w:b/>
          <w:bCs/>
          <w:sz w:val="24"/>
          <w:szCs w:val="24"/>
        </w:rPr>
        <w:t>9</w:t>
      </w:r>
      <w:r w:rsidR="009A5F94">
        <w:rPr>
          <w:rFonts w:asciiTheme="majorHAnsi" w:hAnsiTheme="majorHAnsi"/>
          <w:sz w:val="24"/>
          <w:szCs w:val="24"/>
        </w:rPr>
        <w:t xml:space="preserve"> Usługi</w:t>
      </w:r>
      <w:r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66E578AE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Pr="004F6EB0">
        <w:rPr>
          <w:rFonts w:asciiTheme="majorHAnsi" w:hAnsiTheme="majorHAnsi"/>
          <w:sz w:val="24"/>
          <w:szCs w:val="24"/>
        </w:rPr>
        <w:t xml:space="preserve"> </w:t>
      </w:r>
      <w:r w:rsidR="00E765B5">
        <w:rPr>
          <w:rFonts w:asciiTheme="majorHAnsi" w:hAnsiTheme="majorHAnsi"/>
          <w:sz w:val="24"/>
          <w:szCs w:val="24"/>
        </w:rPr>
        <w:t xml:space="preserve">do </w:t>
      </w:r>
      <w:r w:rsidR="00015FA3">
        <w:rPr>
          <w:rFonts w:asciiTheme="majorHAnsi" w:hAnsiTheme="majorHAnsi"/>
          <w:sz w:val="24"/>
          <w:szCs w:val="24"/>
        </w:rPr>
        <w:t>31.01.2026r.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>za składania oferty wariantowej, o której mowa w art. 92 ustawy Pzp.</w:t>
      </w:r>
    </w:p>
    <w:p w14:paraId="64BC8B47" w14:textId="0ED7BC27" w:rsidR="0074081E" w:rsidRPr="0074081E" w:rsidRDefault="0074081E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>Zamawiający nie dokonał podziału zamówienia na części ponieważ postępowanie dotyczy odbioru i zagospodarowania jednego kodu odpadu.</w:t>
      </w:r>
    </w:p>
    <w:p w14:paraId="02B804AD" w14:textId="77777777" w:rsidR="0081675C" w:rsidRDefault="003C7137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>zawarcia umowy ramowej, o której mowa w art. 311-315 ustawy Pzp.</w:t>
      </w:r>
    </w:p>
    <w:p w14:paraId="6DCB947B" w14:textId="77777777" w:rsidR="0081675C" w:rsidRDefault="00AC6630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286AE5FD" w:rsidR="0081675C" w:rsidRDefault="004F4EA6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>ustawy P</w:t>
      </w:r>
      <w:r w:rsidRPr="0081675C">
        <w:rPr>
          <w:rFonts w:asciiTheme="majorHAnsi" w:hAnsiTheme="majorHAnsi"/>
          <w:sz w:val="24"/>
          <w:szCs w:val="24"/>
        </w:rPr>
        <w:t>zp</w:t>
      </w:r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>aukcji elektronicznej, o której mowa w art. 308 ust. 1 ustawy Pzp.</w:t>
      </w:r>
    </w:p>
    <w:p w14:paraId="6CDC78E8" w14:textId="57217FC8" w:rsidR="00741CCC" w:rsidRDefault="00741CCC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wymaga przedłożenia przedmiotowych środków dowodowych, o których mowa w art. 104-106 ustawy Pzp.</w:t>
      </w:r>
    </w:p>
    <w:p w14:paraId="0146AB85" w14:textId="77777777" w:rsidR="0081675C" w:rsidRDefault="007E45D3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2D15D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zastrzega możliwości ubiegania się o udzielenie zamówienia wyłącznie przez Wykonawców, o których mowa w art. 94 ustawy Pzp.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w art. 108 Pzp</w:t>
      </w:r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2D15D2">
      <w:pPr>
        <w:pStyle w:val="Akapitzlist"/>
        <w:numPr>
          <w:ilvl w:val="0"/>
          <w:numId w:val="40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2D15D2">
      <w:pPr>
        <w:pStyle w:val="Akapitzlist"/>
        <w:numPr>
          <w:ilvl w:val="0"/>
          <w:numId w:val="40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Pzp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584F7092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1)        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B918C65" w14:textId="0D896670" w:rsidR="001B34F6" w:rsidRPr="001B34F6" w:rsidRDefault="001B34F6" w:rsidP="002D15D2">
      <w:pPr>
        <w:pStyle w:val="Akapitzlist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20DE7560" w14:textId="239CACD0" w:rsidR="001B34F6" w:rsidRPr="001D0EE0" w:rsidRDefault="001B34F6" w:rsidP="002D15D2">
      <w:pPr>
        <w:pStyle w:val="Akapitzlist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posiada aktualne zezwolenie na prowadzenie działalności w zakresie odzysku R10 odpadu stanowiącego kompost nieodpowiadający wymaganiom (nienadający się do wykorzystania) wytworzony z odpadów zielonych i innych bioodpadów  zbieranych selektywnie przy czym instalacja do odzysku przedmiotowych odpadów musi spełniać wymagania określone w ustawie z dnia 14 grudnia 2012r. o odpadach (t.j. Dz. U.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Pr="001B34F6">
        <w:rPr>
          <w:rFonts w:asciiTheme="majorHAnsi" w:hAnsiTheme="majorHAnsi"/>
          <w:bCs/>
          <w:sz w:val="24"/>
          <w:szCs w:val="24"/>
        </w:rPr>
        <w:t>z 2023r., poz. 1587 z późn. zm.) z wpisem do Rejestru podmiotów wprowadzających produkty, produkty w opakowaniach i gospodarujących odpadami (BDO</w:t>
      </w:r>
      <w:r w:rsidR="0077448E">
        <w:rPr>
          <w:rFonts w:asciiTheme="majorHAnsi" w:hAnsiTheme="majorHAnsi"/>
          <w:bCs/>
          <w:sz w:val="24"/>
          <w:szCs w:val="24"/>
        </w:rPr>
        <w:t>)</w:t>
      </w:r>
    </w:p>
    <w:p w14:paraId="24997C1A" w14:textId="078037A4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C1172A6" w14:textId="4C9E7710" w:rsidR="001B34F6" w:rsidRPr="001B34F6" w:rsidRDefault="001B34F6" w:rsidP="002D15D2">
      <w:pPr>
        <w:spacing w:line="276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Zamawiający uzna warunek za spełniony, jeżeli Wykonawca wykaże, że jest ubezpieczony od odpowiedzialności cywilnej w zakresie prowadzonej działalności związanej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Pr="001B34F6">
        <w:rPr>
          <w:rFonts w:asciiTheme="majorHAnsi" w:hAnsiTheme="majorHAnsi"/>
          <w:bCs/>
          <w:sz w:val="24"/>
          <w:szCs w:val="24"/>
        </w:rPr>
        <w:t>z przedmiotem zamówienia na sumę gwarancyjną ubezpieczenia min. 100 000,00 PLN.</w:t>
      </w:r>
    </w:p>
    <w:p w14:paraId="6D10F0CD" w14:textId="4FABE575" w:rsidR="001B34F6" w:rsidRPr="001B34F6" w:rsidRDefault="001B34F6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4)   zdolności technicznej lub zawodowej:</w:t>
      </w:r>
    </w:p>
    <w:p w14:paraId="75563DAB" w14:textId="1FFF85DE" w:rsidR="001B34F6" w:rsidRPr="00895C0F" w:rsidRDefault="00727A74" w:rsidP="002D15D2">
      <w:pPr>
        <w:pStyle w:val="Akapitzlist"/>
        <w:numPr>
          <w:ilvl w:val="0"/>
          <w:numId w:val="44"/>
        </w:numPr>
        <w:spacing w:after="0"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CE3AC5" w:rsidRPr="001D0EE0">
        <w:rPr>
          <w:rFonts w:asciiTheme="majorHAnsi" w:hAnsiTheme="majorHAnsi"/>
          <w:bCs/>
          <w:sz w:val="24"/>
          <w:szCs w:val="24"/>
        </w:rPr>
        <w:t>wymaga,</w:t>
      </w:r>
      <w:r w:rsidR="001B34F6" w:rsidRPr="001D0EE0">
        <w:rPr>
          <w:rFonts w:asciiTheme="majorHAnsi" w:hAnsiTheme="majorHAnsi"/>
          <w:bCs/>
          <w:sz w:val="24"/>
          <w:szCs w:val="24"/>
        </w:rPr>
        <w:t xml:space="preserve"> aby Wykonawca wykazał, że w okresie ostatnich 3 lat,</w:t>
      </w:r>
      <w:r w:rsidR="000406DE"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a jeżeli okres prowadzenia działalności jest krótszy – w tym okresie, wykonał co </w:t>
      </w:r>
      <w:r w:rsidRPr="000406DE">
        <w:rPr>
          <w:rFonts w:asciiTheme="majorHAnsi" w:hAnsiTheme="majorHAnsi"/>
          <w:bCs/>
          <w:sz w:val="24"/>
          <w:szCs w:val="24"/>
        </w:rPr>
        <w:t xml:space="preserve">  n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ajmniej jedną usługę odbioru i zagospodarowania odpadu stanowiącego kompost nieodpowiadający wymaganiom (nienadający się do wykorzystania) wytworzony </w:t>
      </w:r>
      <w:r w:rsidR="000406DE">
        <w:rPr>
          <w:rFonts w:asciiTheme="majorHAnsi" w:hAnsiTheme="majorHAnsi"/>
          <w:bCs/>
          <w:sz w:val="24"/>
          <w:szCs w:val="24"/>
        </w:rPr>
        <w:br/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z odpadów zielonych i innych </w:t>
      </w:r>
      <w:r w:rsidR="00CE3AC5" w:rsidRPr="000406DE">
        <w:rPr>
          <w:rFonts w:asciiTheme="majorHAnsi" w:hAnsiTheme="majorHAnsi"/>
          <w:bCs/>
          <w:sz w:val="24"/>
          <w:szCs w:val="24"/>
        </w:rPr>
        <w:t>bioodpadów zbieranych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 selektywnie</w:t>
      </w:r>
      <w:r w:rsidR="001D0EE0" w:rsidRPr="000406DE">
        <w:rPr>
          <w:rFonts w:asciiTheme="majorHAnsi" w:hAnsiTheme="majorHAnsi"/>
          <w:bCs/>
          <w:sz w:val="24"/>
          <w:szCs w:val="24"/>
        </w:rPr>
        <w:t xml:space="preserve"> </w:t>
      </w:r>
      <w:r w:rsidR="001B34F6" w:rsidRPr="000406DE">
        <w:rPr>
          <w:rFonts w:asciiTheme="majorHAnsi" w:hAnsiTheme="majorHAnsi"/>
          <w:bCs/>
          <w:sz w:val="24"/>
          <w:szCs w:val="24"/>
        </w:rPr>
        <w:t xml:space="preserve">w ilości </w:t>
      </w:r>
      <w:r w:rsidR="001B34F6" w:rsidRPr="00895C0F">
        <w:rPr>
          <w:rFonts w:asciiTheme="majorHAnsi" w:hAnsiTheme="majorHAnsi"/>
          <w:bCs/>
          <w:sz w:val="24"/>
          <w:szCs w:val="24"/>
        </w:rPr>
        <w:t xml:space="preserve">min </w:t>
      </w:r>
      <w:r w:rsidR="00477582" w:rsidRPr="00895C0F">
        <w:rPr>
          <w:rFonts w:asciiTheme="majorHAnsi" w:hAnsiTheme="majorHAnsi"/>
          <w:bCs/>
          <w:sz w:val="24"/>
          <w:szCs w:val="24"/>
        </w:rPr>
        <w:t>1000</w:t>
      </w:r>
      <w:r w:rsidR="001B34F6" w:rsidRPr="00895C0F">
        <w:rPr>
          <w:rFonts w:asciiTheme="majorHAnsi" w:hAnsiTheme="majorHAnsi"/>
          <w:bCs/>
          <w:sz w:val="24"/>
          <w:szCs w:val="24"/>
        </w:rPr>
        <w:t xml:space="preserve"> </w:t>
      </w:r>
      <w:r w:rsidR="00BC38F1">
        <w:rPr>
          <w:rFonts w:asciiTheme="majorHAnsi" w:hAnsiTheme="majorHAnsi"/>
          <w:bCs/>
          <w:sz w:val="24"/>
          <w:szCs w:val="24"/>
        </w:rPr>
        <w:t>M</w:t>
      </w:r>
      <w:r w:rsidR="001B34F6" w:rsidRPr="00895C0F">
        <w:rPr>
          <w:rFonts w:asciiTheme="majorHAnsi" w:hAnsiTheme="majorHAnsi"/>
          <w:bCs/>
          <w:sz w:val="24"/>
          <w:szCs w:val="24"/>
        </w:rPr>
        <w:t>g w okresie 1 roku .</w:t>
      </w:r>
    </w:p>
    <w:p w14:paraId="1BDD5840" w14:textId="5F6A7A05" w:rsidR="005047FB" w:rsidRDefault="001B34F6" w:rsidP="002D15D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2D15D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Pzp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2D15D2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2D15D2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2D15D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2D15D2">
      <w:pPr>
        <w:pStyle w:val="Akapitzlist"/>
        <w:numPr>
          <w:ilvl w:val="0"/>
          <w:numId w:val="46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2D15D2">
      <w:pPr>
        <w:pStyle w:val="Akapitzlist"/>
        <w:numPr>
          <w:ilvl w:val="0"/>
          <w:numId w:val="46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2D15D2">
      <w:pPr>
        <w:pStyle w:val="Akapitzlist"/>
        <w:numPr>
          <w:ilvl w:val="0"/>
          <w:numId w:val="46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Pzp, oraz w pozostałych sytuacjach określonych w przepisach ustawy Pzp.</w:t>
      </w:r>
    </w:p>
    <w:p w14:paraId="28E1003D" w14:textId="42EE17AF" w:rsidR="00830756" w:rsidRPr="002117BB" w:rsidRDefault="00830756" w:rsidP="002D15D2">
      <w:pPr>
        <w:pStyle w:val="Akapitzlist"/>
        <w:numPr>
          <w:ilvl w:val="0"/>
          <w:numId w:val="47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2D15D2">
      <w:pPr>
        <w:pStyle w:val="Akapitzlist"/>
        <w:numPr>
          <w:ilvl w:val="1"/>
          <w:numId w:val="4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albo ofert nie polegał on w danym zakresie na zdolnościach lub sytuacji podmiotów udostępniających zasoby. Pozostałe informacje w zakresie dysponowania zasobami „podmiotów trzecich” zawarte są w art. 118 – 123 Pzp.</w:t>
      </w:r>
    </w:p>
    <w:p w14:paraId="75BF2AFD" w14:textId="77777777" w:rsidR="007E45D3" w:rsidRDefault="00AC331D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2D15D2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2D15D2">
      <w:pPr>
        <w:pStyle w:val="Akapitzlist"/>
        <w:numPr>
          <w:ilvl w:val="5"/>
          <w:numId w:val="29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2D15D2">
      <w:pPr>
        <w:pStyle w:val="Akapitzlist"/>
        <w:numPr>
          <w:ilvl w:val="0"/>
          <w:numId w:val="49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AB48F81" w14:textId="01C67ACD" w:rsidR="0045712E" w:rsidRDefault="0045712E" w:rsidP="002D15D2">
      <w:pPr>
        <w:pStyle w:val="Akapitzlist"/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zezwolenia na prowadzenie działalności w zakresie odzysku R10 odpadu stanowiącego kompost nieodpowiadający wymaganiom (nienadający się do wykorzystania) wytworzony z odpadów zielonych i innych bioodpadów  zbieranych selektywnie przy czym instalacja do odzysku lub recyklingu przedmiotowych odpadów musi spełniać wymagania określone w ustawie z dnia 14 grudnia 2012r. o odpadach (t.j. Dz. U. z 2023r. poz. 1587z późn. zm.), z wpisem do Rejestru podmiotów wprowadzających produkty, produkty opakowaniach i gospodarujących odpadami (BDO).</w:t>
      </w:r>
    </w:p>
    <w:p w14:paraId="4D274E20" w14:textId="77777777" w:rsidR="0045712E" w:rsidRPr="0045712E" w:rsidRDefault="0045712E" w:rsidP="002D15D2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2D15D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2D15D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2D15D2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2D15D2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2D15D2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Pzp;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2D15D2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Pzp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2D15D2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579A79A1" w:rsidR="00EC6F78" w:rsidRPr="004677A9" w:rsidRDefault="00EC6F78" w:rsidP="002D15D2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10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4729B306" w:rsidR="00EC6F78" w:rsidRPr="0020655D" w:rsidRDefault="005B587C" w:rsidP="002D15D2">
      <w:pPr>
        <w:pStyle w:val="Akapitzlist"/>
        <w:numPr>
          <w:ilvl w:val="1"/>
          <w:numId w:val="4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11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ws.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(zgodnie z art. 58 ustawy Pzp)</w:t>
      </w:r>
    </w:p>
    <w:p w14:paraId="08FF1A7C" w14:textId="3DA7B92D" w:rsidR="002117BB" w:rsidRDefault="002117BB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2D15D2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8A5CF50" w14:textId="0D20EB6A" w:rsidR="00CC1E7E" w:rsidRPr="00CA5176" w:rsidRDefault="00CC1E7E" w:rsidP="00CC1E7E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podmiotu udost</w:t>
      </w:r>
      <w:r>
        <w:rPr>
          <w:rFonts w:asciiTheme="majorHAnsi" w:hAnsiTheme="majorHAnsi" w:cs="Times New Roman"/>
          <w:sz w:val="24"/>
          <w:szCs w:val="24"/>
        </w:rPr>
        <w:t>ę</w:t>
      </w:r>
      <w:r w:rsidRPr="00CA5176">
        <w:rPr>
          <w:rFonts w:asciiTheme="majorHAnsi" w:hAnsiTheme="majorHAnsi" w:cs="Times New Roman"/>
          <w:sz w:val="24"/>
          <w:szCs w:val="24"/>
        </w:rPr>
        <w:t>pniaj</w:t>
      </w:r>
      <w:r>
        <w:rPr>
          <w:rFonts w:asciiTheme="majorHAnsi" w:hAnsiTheme="majorHAnsi" w:cs="Times New Roman"/>
          <w:sz w:val="24"/>
          <w:szCs w:val="24"/>
        </w:rPr>
        <w:t>ą</w:t>
      </w:r>
      <w:r w:rsidRPr="00CA5176">
        <w:rPr>
          <w:rFonts w:asciiTheme="majorHAnsi" w:hAnsiTheme="majorHAnsi" w:cs="Times New Roman"/>
          <w:sz w:val="24"/>
          <w:szCs w:val="24"/>
        </w:rPr>
        <w:t xml:space="preserve">cego zasoby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14:paraId="3B2F8248" w14:textId="42F40731" w:rsidR="00CC1E7E" w:rsidRPr="00CC1E7E" w:rsidRDefault="00CC1E7E" w:rsidP="00CC1E7E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wykonawcy/wykonawcy wspólnie ubiegającego się o zamówienie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7E533412" w14:textId="77777777" w:rsidR="00EE3392" w:rsidRPr="00EE3392" w:rsidRDefault="00EE3392" w:rsidP="002D15D2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Wykonawca, każdy uczestnik Konsorcjum, podmiot udostępniający potencjał na zasadach wynikających z art. 118 ustawy Pzp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2D15D2">
      <w:pPr>
        <w:pStyle w:val="Akapitzlist"/>
        <w:numPr>
          <w:ilvl w:val="0"/>
          <w:numId w:val="50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2D15D2">
      <w:pPr>
        <w:pStyle w:val="Akapitzlist"/>
        <w:numPr>
          <w:ilvl w:val="0"/>
          <w:numId w:val="50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Pzp. składane są w oryginale. </w:t>
      </w:r>
    </w:p>
    <w:p w14:paraId="21C014D5" w14:textId="77777777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2D15D2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 na zasadach określonych w art. 118 ustawy Pzp,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2D15D2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01BE70D" w:rsidR="00F66309" w:rsidRPr="00DF4DB0" w:rsidRDefault="00DF4DB0" w:rsidP="002D15D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Pzp,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2D15D2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2D15D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2D15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2D15D2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2D15D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>Zgodnie z art. 18 ust. 3 ustawy Pzp,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2D15D2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2D15D2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2D15D2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77C9A2F4" w:rsidR="00FE6176" w:rsidRPr="00FE6176" w:rsidRDefault="00FE6176" w:rsidP="002D15D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terminu składania ofert wskazanego w SWZ w </w:t>
      </w:r>
      <w:r w:rsidRPr="001962EC">
        <w:rPr>
          <w:rFonts w:asciiTheme="majorHAnsi" w:hAnsiTheme="majorHAnsi" w:cs="Times New Roman"/>
          <w:sz w:val="24"/>
          <w:szCs w:val="24"/>
        </w:rPr>
        <w:t xml:space="preserve">wysokości: </w:t>
      </w:r>
      <w:r w:rsidR="00015FA3">
        <w:rPr>
          <w:rFonts w:asciiTheme="majorHAnsi" w:hAnsiTheme="majorHAnsi" w:cs="Times New Roman"/>
          <w:sz w:val="24"/>
          <w:szCs w:val="24"/>
        </w:rPr>
        <w:t>4</w:t>
      </w:r>
      <w:r w:rsidR="00422976" w:rsidRPr="001962EC">
        <w:rPr>
          <w:rFonts w:asciiTheme="majorHAnsi" w:hAnsiTheme="majorHAnsi" w:cs="Times New Roman"/>
          <w:sz w:val="24"/>
          <w:szCs w:val="24"/>
        </w:rPr>
        <w:t xml:space="preserve"> 000,00 </w:t>
      </w:r>
      <w:r w:rsidRPr="001962EC">
        <w:rPr>
          <w:rFonts w:asciiTheme="majorHAnsi" w:hAnsiTheme="majorHAnsi" w:cs="Times New Roman"/>
          <w:sz w:val="24"/>
          <w:szCs w:val="24"/>
        </w:rPr>
        <w:t>zł</w:t>
      </w:r>
      <w:r w:rsidRPr="00FE6176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015FA3">
        <w:rPr>
          <w:rFonts w:asciiTheme="majorHAnsi" w:hAnsiTheme="majorHAnsi" w:cs="Times New Roman"/>
          <w:sz w:val="24"/>
          <w:szCs w:val="24"/>
        </w:rPr>
        <w:t>cztery</w:t>
      </w:r>
      <w:r w:rsidRPr="00FE6176">
        <w:rPr>
          <w:rFonts w:asciiTheme="majorHAnsi" w:hAnsiTheme="majorHAnsi" w:cs="Times New Roman"/>
          <w:sz w:val="24"/>
          <w:szCs w:val="24"/>
        </w:rPr>
        <w:t xml:space="preserve"> tysi</w:t>
      </w:r>
      <w:r w:rsidR="00015FA3">
        <w:rPr>
          <w:rFonts w:asciiTheme="majorHAnsi" w:hAnsiTheme="majorHAnsi" w:cs="Times New Roman"/>
          <w:sz w:val="24"/>
          <w:szCs w:val="24"/>
        </w:rPr>
        <w:t>ące</w:t>
      </w:r>
      <w:r w:rsidRPr="00FE6176">
        <w:rPr>
          <w:rFonts w:asciiTheme="majorHAnsi" w:hAnsiTheme="majorHAnsi" w:cs="Times New Roman"/>
          <w:sz w:val="24"/>
          <w:szCs w:val="24"/>
        </w:rPr>
        <w:t xml:space="preserve"> złotych 00/100 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2D15D2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zwraca wadium w przypadkach określonych w art. 98 Pzp: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2D15D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zatrzymuje wadium w przypadkach określonych w art. 98 Pzp: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66F6F927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0E40AE13" w:rsidR="00426E28" w:rsidRPr="002117BB" w:rsidRDefault="00426E28" w:rsidP="002D15D2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1962EC">
        <w:rPr>
          <w:rFonts w:asciiTheme="majorHAnsi" w:hAnsiTheme="majorHAnsi" w:cs="Times New Roman"/>
          <w:sz w:val="24"/>
          <w:szCs w:val="24"/>
        </w:rPr>
        <w:t>dnia</w:t>
      </w:r>
      <w:r w:rsidR="00C66F35" w:rsidRPr="001962EC">
        <w:rPr>
          <w:rFonts w:asciiTheme="majorHAnsi" w:hAnsiTheme="majorHAnsi" w:cs="Times New Roman"/>
          <w:sz w:val="24"/>
          <w:szCs w:val="24"/>
        </w:rPr>
        <w:t xml:space="preserve"> </w:t>
      </w:r>
      <w:r w:rsidR="00015FA3">
        <w:rPr>
          <w:rFonts w:asciiTheme="majorHAnsi" w:hAnsiTheme="majorHAnsi" w:cs="Times New Roman"/>
          <w:sz w:val="24"/>
          <w:szCs w:val="24"/>
        </w:rPr>
        <w:t>22</w:t>
      </w:r>
      <w:r w:rsidR="00C66F35" w:rsidRPr="001962EC">
        <w:rPr>
          <w:rFonts w:asciiTheme="majorHAnsi" w:hAnsiTheme="majorHAnsi" w:cs="Times New Roman"/>
          <w:sz w:val="24"/>
          <w:szCs w:val="24"/>
        </w:rPr>
        <w:t>.0</w:t>
      </w:r>
      <w:r w:rsidR="00015FA3">
        <w:rPr>
          <w:rFonts w:asciiTheme="majorHAnsi" w:hAnsiTheme="majorHAnsi" w:cs="Times New Roman"/>
          <w:sz w:val="24"/>
          <w:szCs w:val="24"/>
        </w:rPr>
        <w:t>6</w:t>
      </w:r>
      <w:r w:rsidR="00C66F35" w:rsidRPr="001962EC">
        <w:rPr>
          <w:rFonts w:asciiTheme="majorHAnsi" w:hAnsiTheme="majorHAnsi" w:cs="Times New Roman"/>
          <w:sz w:val="24"/>
          <w:szCs w:val="24"/>
        </w:rPr>
        <w:t>.202</w:t>
      </w:r>
      <w:r w:rsidR="00015FA3">
        <w:rPr>
          <w:rFonts w:asciiTheme="majorHAnsi" w:hAnsiTheme="majorHAnsi" w:cs="Times New Roman"/>
          <w:sz w:val="24"/>
          <w:szCs w:val="24"/>
        </w:rPr>
        <w:t>5</w:t>
      </w:r>
      <w:r w:rsidR="00C66F35">
        <w:rPr>
          <w:rFonts w:asciiTheme="majorHAnsi" w:hAnsiTheme="majorHAnsi" w:cs="Times New Roman"/>
          <w:sz w:val="24"/>
          <w:szCs w:val="24"/>
        </w:rPr>
        <w:t xml:space="preserve"> r. 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2D15D2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2D15D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2D83781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6D11075C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1962EC">
        <w:rPr>
          <w:rFonts w:asciiTheme="majorHAnsi" w:hAnsiTheme="majorHAnsi" w:cs="Times New Roman"/>
          <w:sz w:val="24"/>
          <w:szCs w:val="24"/>
        </w:rPr>
        <w:t>dnia</w:t>
      </w:r>
      <w:r w:rsidR="00C66F35" w:rsidRPr="001962EC">
        <w:rPr>
          <w:rFonts w:asciiTheme="majorHAnsi" w:hAnsiTheme="majorHAnsi" w:cs="Times New Roman"/>
          <w:sz w:val="24"/>
          <w:szCs w:val="24"/>
        </w:rPr>
        <w:t xml:space="preserve"> </w:t>
      </w:r>
      <w:r w:rsidR="00015FA3">
        <w:rPr>
          <w:rFonts w:asciiTheme="majorHAnsi" w:hAnsiTheme="majorHAnsi" w:cs="Times New Roman"/>
          <w:sz w:val="24"/>
          <w:szCs w:val="24"/>
        </w:rPr>
        <w:t>25</w:t>
      </w:r>
      <w:r w:rsidR="00C66F35" w:rsidRPr="001962EC">
        <w:rPr>
          <w:rFonts w:asciiTheme="majorHAnsi" w:hAnsiTheme="majorHAnsi" w:cs="Times New Roman"/>
          <w:sz w:val="24"/>
          <w:szCs w:val="24"/>
        </w:rPr>
        <w:t>.0</w:t>
      </w:r>
      <w:r w:rsidR="00015FA3">
        <w:rPr>
          <w:rFonts w:asciiTheme="majorHAnsi" w:hAnsiTheme="majorHAnsi" w:cs="Times New Roman"/>
          <w:sz w:val="24"/>
          <w:szCs w:val="24"/>
        </w:rPr>
        <w:t>3</w:t>
      </w:r>
      <w:r w:rsidR="00C66F35" w:rsidRPr="001962EC">
        <w:rPr>
          <w:rFonts w:asciiTheme="majorHAnsi" w:hAnsiTheme="majorHAnsi" w:cs="Times New Roman"/>
          <w:sz w:val="24"/>
          <w:szCs w:val="24"/>
        </w:rPr>
        <w:t>.202</w:t>
      </w:r>
      <w:r w:rsidR="00015FA3">
        <w:rPr>
          <w:rFonts w:asciiTheme="majorHAnsi" w:hAnsiTheme="majorHAnsi" w:cs="Times New Roman"/>
          <w:sz w:val="24"/>
          <w:szCs w:val="24"/>
        </w:rPr>
        <w:t>5</w:t>
      </w:r>
      <w:r w:rsidRPr="001962EC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611A610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1962EC">
        <w:rPr>
          <w:rFonts w:asciiTheme="majorHAnsi" w:hAnsiTheme="majorHAnsi" w:cs="Times New Roman"/>
          <w:sz w:val="24"/>
          <w:szCs w:val="24"/>
        </w:rPr>
        <w:t xml:space="preserve">dniu </w:t>
      </w:r>
      <w:r w:rsidR="00015FA3">
        <w:rPr>
          <w:rFonts w:asciiTheme="majorHAnsi" w:hAnsiTheme="majorHAnsi" w:cs="Times New Roman"/>
          <w:sz w:val="24"/>
          <w:szCs w:val="24"/>
        </w:rPr>
        <w:t>25</w:t>
      </w:r>
      <w:r w:rsidR="00C66F35" w:rsidRPr="001962EC">
        <w:rPr>
          <w:rFonts w:asciiTheme="majorHAnsi" w:hAnsiTheme="majorHAnsi" w:cs="Times New Roman"/>
          <w:sz w:val="24"/>
          <w:szCs w:val="24"/>
        </w:rPr>
        <w:t>.0</w:t>
      </w:r>
      <w:r w:rsidR="00015FA3">
        <w:rPr>
          <w:rFonts w:asciiTheme="majorHAnsi" w:hAnsiTheme="majorHAnsi" w:cs="Times New Roman"/>
          <w:sz w:val="24"/>
          <w:szCs w:val="24"/>
        </w:rPr>
        <w:t>3</w:t>
      </w:r>
      <w:r w:rsidR="00C66F35" w:rsidRPr="001962EC">
        <w:rPr>
          <w:rFonts w:asciiTheme="majorHAnsi" w:hAnsiTheme="majorHAnsi" w:cs="Times New Roman"/>
          <w:sz w:val="24"/>
          <w:szCs w:val="24"/>
        </w:rPr>
        <w:t>.202</w:t>
      </w:r>
      <w:r w:rsidR="00015FA3">
        <w:rPr>
          <w:rFonts w:asciiTheme="majorHAnsi" w:hAnsiTheme="majorHAnsi" w:cs="Times New Roman"/>
          <w:sz w:val="24"/>
          <w:szCs w:val="24"/>
        </w:rPr>
        <w:t>5</w:t>
      </w:r>
      <w:r w:rsidR="000D58D4" w:rsidRPr="001962EC">
        <w:rPr>
          <w:rFonts w:asciiTheme="majorHAnsi" w:hAnsiTheme="majorHAnsi" w:cs="Times New Roman"/>
          <w:sz w:val="24"/>
          <w:szCs w:val="24"/>
        </w:rPr>
        <w:t xml:space="preserve"> r.</w:t>
      </w:r>
      <w:r w:rsidR="000D58D4">
        <w:rPr>
          <w:rFonts w:asciiTheme="majorHAnsi" w:hAnsiTheme="majorHAnsi" w:cs="Times New Roman"/>
          <w:sz w:val="24"/>
          <w:szCs w:val="24"/>
        </w:rPr>
        <w:t xml:space="preserve"> godz. </w:t>
      </w:r>
      <w:r w:rsidR="00C306FD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C306FD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1927B0C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3E772E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2D15D2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22B58F52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3E772E">
        <w:rPr>
          <w:rFonts w:asciiTheme="majorHAnsi" w:hAnsiTheme="majorHAnsi"/>
          <w:b/>
          <w:sz w:val="28"/>
          <w:szCs w:val="28"/>
        </w:rPr>
        <w:t>I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2D15D2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 xml:space="preserve">C= (Cmin </w:t>
      </w:r>
      <w:r w:rsidRPr="00CE715D">
        <w:rPr>
          <w:rFonts w:asciiTheme="majorHAnsi" w:hAnsiTheme="majorHAnsi" w:cs="Times New Roman"/>
          <w:sz w:val="24"/>
          <w:szCs w:val="24"/>
        </w:rPr>
        <w:t>/ Cof)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2D15D2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29068244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2D15D2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603A985B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1D388D28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3832B903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3E772E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3E772E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2D15D2">
      <w:pPr>
        <w:pStyle w:val="Akapitzlist"/>
        <w:numPr>
          <w:ilvl w:val="1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2D15D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2D15D2">
      <w:pPr>
        <w:pStyle w:val="Akapitzlist"/>
        <w:numPr>
          <w:ilvl w:val="0"/>
          <w:numId w:val="26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2D15D2">
      <w:pPr>
        <w:pStyle w:val="Akapitzlist"/>
        <w:numPr>
          <w:ilvl w:val="0"/>
          <w:numId w:val="26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2D15D2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0CF08335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3E772E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2D15D2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>. – Prawo zamówień publicznych, dalej „ustawa Pzp”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 </w:t>
      </w:r>
    </w:p>
    <w:p w14:paraId="5350BD95" w14:textId="2CF7345C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Pzp oraz nie może naruszać integralności protokołu oraz jego załączników,  </w:t>
      </w:r>
    </w:p>
    <w:p w14:paraId="01DC6928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2D15D2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2D15D2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2D15D2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>Oświadczenie wstępne o spełnianiu warunków udziału w postępowaniu oraz o braku podstaw do wykluczenia z postępowania, tj. oświadczenie, o którym mowa w art. 125 ust.1 ustawy Pzp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>zgodnie z art. 117 ust. 4 ustawy 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0FFC9556" w14:textId="67F9B6F7" w:rsidR="00CC1E7E" w:rsidRPr="00CC1E7E" w:rsidRDefault="00CC1E7E" w:rsidP="00CC1E7E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12 </w:t>
      </w:r>
      <w:r>
        <w:rPr>
          <w:rFonts w:asciiTheme="majorHAnsi" w:hAnsiTheme="majorHAnsi" w:cs="Arial"/>
          <w:sz w:val="24"/>
          <w:szCs w:val="24"/>
        </w:rPr>
        <w:tab/>
      </w: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podmiotu udostępniającego zasoby</w:t>
      </w:r>
      <w:r w:rsidRPr="00CA5176">
        <w:rPr>
          <w:rFonts w:asciiTheme="majorHAnsi" w:hAnsiTheme="majorHAnsi" w:cs="Times New Roman"/>
          <w:sz w:val="24"/>
          <w:szCs w:val="24"/>
        </w:rPr>
        <w:t xml:space="preserve"> z art 125 ust 5 </w:t>
      </w:r>
      <w:r>
        <w:rPr>
          <w:rFonts w:asciiTheme="majorHAnsi" w:hAnsiTheme="majorHAnsi" w:cs="Times New Roman"/>
          <w:sz w:val="24"/>
          <w:szCs w:val="24"/>
        </w:rPr>
        <w:t xml:space="preserve">ustawy </w:t>
      </w:r>
      <w:r w:rsidRPr="00CA5176">
        <w:rPr>
          <w:rFonts w:asciiTheme="majorHAnsi" w:hAnsiTheme="majorHAnsi" w:cs="Times New Roman"/>
          <w:sz w:val="24"/>
          <w:szCs w:val="24"/>
        </w:rPr>
        <w:t>Pz</w:t>
      </w:r>
      <w:r>
        <w:rPr>
          <w:rFonts w:asciiTheme="majorHAnsi" w:hAnsiTheme="majorHAnsi" w:cs="Times New Roman"/>
          <w:sz w:val="24"/>
          <w:szCs w:val="24"/>
        </w:rPr>
        <w:t>p</w:t>
      </w:r>
    </w:p>
    <w:p w14:paraId="36ED3372" w14:textId="5379AAA1" w:rsidR="00800B19" w:rsidRPr="00800B19" w:rsidRDefault="00074330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015FA3">
        <w:rPr>
          <w:rFonts w:ascii="Calibri Light" w:hAnsi="Calibri Light" w:cs="Arial"/>
          <w:bCs/>
          <w:sz w:val="24"/>
          <w:szCs w:val="24"/>
        </w:rPr>
        <w:t>3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Pzp</w:t>
      </w: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0CEB" w14:textId="77777777" w:rsidR="00645B8B" w:rsidRDefault="00645B8B" w:rsidP="00D57DBA">
      <w:pPr>
        <w:spacing w:after="0" w:line="240" w:lineRule="auto"/>
      </w:pPr>
      <w:r>
        <w:separator/>
      </w:r>
    </w:p>
  </w:endnote>
  <w:endnote w:type="continuationSeparator" w:id="0">
    <w:p w14:paraId="33346E85" w14:textId="77777777" w:rsidR="00645B8B" w:rsidRDefault="00645B8B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5DE0" w14:textId="77777777" w:rsidR="00645B8B" w:rsidRDefault="00645B8B" w:rsidP="00D57DBA">
      <w:pPr>
        <w:spacing w:after="0" w:line="240" w:lineRule="auto"/>
      </w:pPr>
      <w:r>
        <w:separator/>
      </w:r>
    </w:p>
  </w:footnote>
  <w:footnote w:type="continuationSeparator" w:id="0">
    <w:p w14:paraId="005A3B28" w14:textId="77777777" w:rsidR="00645B8B" w:rsidRDefault="00645B8B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6C5D"/>
    <w:multiLevelType w:val="hybridMultilevel"/>
    <w:tmpl w:val="CF84914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2CCC"/>
    <w:multiLevelType w:val="hybridMultilevel"/>
    <w:tmpl w:val="B9FEEF18"/>
    <w:lvl w:ilvl="0" w:tplc="A77E0156">
      <w:start w:val="1"/>
      <w:numFmt w:val="lowerLetter"/>
      <w:lvlText w:val="%1)"/>
      <w:lvlJc w:val="left"/>
      <w:pPr>
        <w:ind w:left="1211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9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21748F"/>
    <w:multiLevelType w:val="hybridMultilevel"/>
    <w:tmpl w:val="A8DA2A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82FE2"/>
    <w:multiLevelType w:val="hybridMultilevel"/>
    <w:tmpl w:val="F9EC880A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71CA3"/>
    <w:multiLevelType w:val="hybridMultilevel"/>
    <w:tmpl w:val="6EC88C0C"/>
    <w:lvl w:ilvl="0" w:tplc="12D0291E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9225A"/>
    <w:multiLevelType w:val="hybridMultilevel"/>
    <w:tmpl w:val="298E7F52"/>
    <w:lvl w:ilvl="0" w:tplc="AB1CF7C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6932129">
    <w:abstractNumId w:val="22"/>
  </w:num>
  <w:num w:numId="2" w16cid:durableId="1158494433">
    <w:abstractNumId w:val="49"/>
  </w:num>
  <w:num w:numId="3" w16cid:durableId="1326740741">
    <w:abstractNumId w:val="30"/>
  </w:num>
  <w:num w:numId="4" w16cid:durableId="1251232559">
    <w:abstractNumId w:val="20"/>
  </w:num>
  <w:num w:numId="5" w16cid:durableId="966545392">
    <w:abstractNumId w:val="14"/>
  </w:num>
  <w:num w:numId="6" w16cid:durableId="658122454">
    <w:abstractNumId w:val="31"/>
  </w:num>
  <w:num w:numId="7" w16cid:durableId="1421484954">
    <w:abstractNumId w:val="16"/>
  </w:num>
  <w:num w:numId="8" w16cid:durableId="512182206">
    <w:abstractNumId w:val="40"/>
  </w:num>
  <w:num w:numId="9" w16cid:durableId="1881353504">
    <w:abstractNumId w:val="47"/>
  </w:num>
  <w:num w:numId="10" w16cid:durableId="1068916906">
    <w:abstractNumId w:val="27"/>
  </w:num>
  <w:num w:numId="11" w16cid:durableId="1748646313">
    <w:abstractNumId w:val="36"/>
  </w:num>
  <w:num w:numId="12" w16cid:durableId="1374578670">
    <w:abstractNumId w:val="2"/>
  </w:num>
  <w:num w:numId="13" w16cid:durableId="116334566">
    <w:abstractNumId w:val="33"/>
  </w:num>
  <w:num w:numId="14" w16cid:durableId="609430120">
    <w:abstractNumId w:val="41"/>
  </w:num>
  <w:num w:numId="15" w16cid:durableId="1473403793">
    <w:abstractNumId w:val="26"/>
  </w:num>
  <w:num w:numId="16" w16cid:durableId="2075347684">
    <w:abstractNumId w:val="28"/>
  </w:num>
  <w:num w:numId="17" w16cid:durableId="2111851102">
    <w:abstractNumId w:val="4"/>
  </w:num>
  <w:num w:numId="18" w16cid:durableId="1208222529">
    <w:abstractNumId w:val="23"/>
  </w:num>
  <w:num w:numId="19" w16cid:durableId="1264456557">
    <w:abstractNumId w:val="25"/>
  </w:num>
  <w:num w:numId="20" w16cid:durableId="1663728530">
    <w:abstractNumId w:val="24"/>
  </w:num>
  <w:num w:numId="21" w16cid:durableId="968243638">
    <w:abstractNumId w:val="11"/>
  </w:num>
  <w:num w:numId="22" w16cid:durableId="1711539849">
    <w:abstractNumId w:val="32"/>
  </w:num>
  <w:num w:numId="23" w16cid:durableId="1755123557">
    <w:abstractNumId w:val="12"/>
  </w:num>
  <w:num w:numId="24" w16cid:durableId="745230026">
    <w:abstractNumId w:val="4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838693784">
    <w:abstractNumId w:val="44"/>
  </w:num>
  <w:num w:numId="26" w16cid:durableId="1877961112">
    <w:abstractNumId w:val="6"/>
  </w:num>
  <w:num w:numId="27" w16cid:durableId="133908640">
    <w:abstractNumId w:val="19"/>
  </w:num>
  <w:num w:numId="28" w16cid:durableId="1379821746">
    <w:abstractNumId w:val="38"/>
  </w:num>
  <w:num w:numId="29" w16cid:durableId="1222518439">
    <w:abstractNumId w:val="10"/>
  </w:num>
  <w:num w:numId="30" w16cid:durableId="1827553748">
    <w:abstractNumId w:val="35"/>
  </w:num>
  <w:num w:numId="31" w16cid:durableId="1478378316">
    <w:abstractNumId w:val="39"/>
  </w:num>
  <w:num w:numId="32" w16cid:durableId="1131946301">
    <w:abstractNumId w:val="3"/>
  </w:num>
  <w:num w:numId="33" w16cid:durableId="1069769174">
    <w:abstractNumId w:val="46"/>
  </w:num>
  <w:num w:numId="34" w16cid:durableId="66466428">
    <w:abstractNumId w:val="18"/>
  </w:num>
  <w:num w:numId="35" w16cid:durableId="1824926146">
    <w:abstractNumId w:val="0"/>
  </w:num>
  <w:num w:numId="36" w16cid:durableId="574365237">
    <w:abstractNumId w:val="7"/>
  </w:num>
  <w:num w:numId="37" w16cid:durableId="2126456717">
    <w:abstractNumId w:val="8"/>
  </w:num>
  <w:num w:numId="38" w16cid:durableId="1627391737">
    <w:abstractNumId w:val="43"/>
  </w:num>
  <w:num w:numId="39" w16cid:durableId="1578638067">
    <w:abstractNumId w:val="37"/>
  </w:num>
  <w:num w:numId="40" w16cid:durableId="490215690">
    <w:abstractNumId w:val="17"/>
  </w:num>
  <w:num w:numId="41" w16cid:durableId="1014066044">
    <w:abstractNumId w:val="29"/>
  </w:num>
  <w:num w:numId="42" w16cid:durableId="2003964068">
    <w:abstractNumId w:val="5"/>
  </w:num>
  <w:num w:numId="43" w16cid:durableId="1834951141">
    <w:abstractNumId w:val="1"/>
  </w:num>
  <w:num w:numId="44" w16cid:durableId="1622420504">
    <w:abstractNumId w:val="34"/>
  </w:num>
  <w:num w:numId="45" w16cid:durableId="1594586492">
    <w:abstractNumId w:val="45"/>
  </w:num>
  <w:num w:numId="46" w16cid:durableId="939071970">
    <w:abstractNumId w:val="13"/>
  </w:num>
  <w:num w:numId="47" w16cid:durableId="147132040">
    <w:abstractNumId w:val="15"/>
  </w:num>
  <w:num w:numId="48" w16cid:durableId="795950730">
    <w:abstractNumId w:val="9"/>
  </w:num>
  <w:num w:numId="49" w16cid:durableId="2065638754">
    <w:abstractNumId w:val="42"/>
  </w:num>
  <w:num w:numId="50" w16cid:durableId="110607617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724"/>
    <w:rsid w:val="00002AFA"/>
    <w:rsid w:val="00014B2C"/>
    <w:rsid w:val="00015FA3"/>
    <w:rsid w:val="00024279"/>
    <w:rsid w:val="000255AF"/>
    <w:rsid w:val="000406DE"/>
    <w:rsid w:val="00041C4F"/>
    <w:rsid w:val="00047665"/>
    <w:rsid w:val="0005739F"/>
    <w:rsid w:val="00061B76"/>
    <w:rsid w:val="00062163"/>
    <w:rsid w:val="00062A64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58D4"/>
    <w:rsid w:val="000D5983"/>
    <w:rsid w:val="000E5A79"/>
    <w:rsid w:val="000F74E7"/>
    <w:rsid w:val="0010586C"/>
    <w:rsid w:val="00106B6B"/>
    <w:rsid w:val="001128D0"/>
    <w:rsid w:val="001172B0"/>
    <w:rsid w:val="00125D4E"/>
    <w:rsid w:val="001314B4"/>
    <w:rsid w:val="00133B79"/>
    <w:rsid w:val="00135B42"/>
    <w:rsid w:val="00140936"/>
    <w:rsid w:val="00164BF1"/>
    <w:rsid w:val="001702F9"/>
    <w:rsid w:val="0017546E"/>
    <w:rsid w:val="00175819"/>
    <w:rsid w:val="001843F5"/>
    <w:rsid w:val="00193B2D"/>
    <w:rsid w:val="001962EC"/>
    <w:rsid w:val="001A0848"/>
    <w:rsid w:val="001A27F1"/>
    <w:rsid w:val="001A60BD"/>
    <w:rsid w:val="001B34F6"/>
    <w:rsid w:val="001B682D"/>
    <w:rsid w:val="001C3ADC"/>
    <w:rsid w:val="001D0EE0"/>
    <w:rsid w:val="001D3BAF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65854"/>
    <w:rsid w:val="00273422"/>
    <w:rsid w:val="00292DF9"/>
    <w:rsid w:val="002B0C4D"/>
    <w:rsid w:val="002B1DE6"/>
    <w:rsid w:val="002B68ED"/>
    <w:rsid w:val="002C14A9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915F1"/>
    <w:rsid w:val="003979BC"/>
    <w:rsid w:val="003A1952"/>
    <w:rsid w:val="003A3670"/>
    <w:rsid w:val="003A7ADC"/>
    <w:rsid w:val="003B1957"/>
    <w:rsid w:val="003B2394"/>
    <w:rsid w:val="003B4E3E"/>
    <w:rsid w:val="003C7137"/>
    <w:rsid w:val="003D364A"/>
    <w:rsid w:val="003E3F0E"/>
    <w:rsid w:val="003E4DF0"/>
    <w:rsid w:val="003E772E"/>
    <w:rsid w:val="003F1EDF"/>
    <w:rsid w:val="003F417C"/>
    <w:rsid w:val="003F54F1"/>
    <w:rsid w:val="003F5FB0"/>
    <w:rsid w:val="00400639"/>
    <w:rsid w:val="0041311A"/>
    <w:rsid w:val="00422976"/>
    <w:rsid w:val="004234F8"/>
    <w:rsid w:val="00423FC7"/>
    <w:rsid w:val="00426E28"/>
    <w:rsid w:val="0044382F"/>
    <w:rsid w:val="00444705"/>
    <w:rsid w:val="0045712E"/>
    <w:rsid w:val="004660DE"/>
    <w:rsid w:val="00477582"/>
    <w:rsid w:val="00477A23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6EB0"/>
    <w:rsid w:val="004F77BD"/>
    <w:rsid w:val="004F7E49"/>
    <w:rsid w:val="00502881"/>
    <w:rsid w:val="005047FB"/>
    <w:rsid w:val="00513A13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B2A79"/>
    <w:rsid w:val="005B587C"/>
    <w:rsid w:val="005B5F36"/>
    <w:rsid w:val="005E319F"/>
    <w:rsid w:val="005F53FD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45B8B"/>
    <w:rsid w:val="00667B98"/>
    <w:rsid w:val="00682D6A"/>
    <w:rsid w:val="00696D06"/>
    <w:rsid w:val="006A462A"/>
    <w:rsid w:val="006B1609"/>
    <w:rsid w:val="006B1E4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5FC4"/>
    <w:rsid w:val="0074081E"/>
    <w:rsid w:val="00741CCC"/>
    <w:rsid w:val="0075604D"/>
    <w:rsid w:val="00757303"/>
    <w:rsid w:val="0077448E"/>
    <w:rsid w:val="00782800"/>
    <w:rsid w:val="007835D7"/>
    <w:rsid w:val="00794C73"/>
    <w:rsid w:val="007957D1"/>
    <w:rsid w:val="007957EA"/>
    <w:rsid w:val="007A2230"/>
    <w:rsid w:val="007B1B70"/>
    <w:rsid w:val="007B5C2B"/>
    <w:rsid w:val="007D73E2"/>
    <w:rsid w:val="007E45D3"/>
    <w:rsid w:val="007E72CA"/>
    <w:rsid w:val="00800B19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62ECF"/>
    <w:rsid w:val="00880CF8"/>
    <w:rsid w:val="0088168D"/>
    <w:rsid w:val="0088445F"/>
    <w:rsid w:val="00885E7F"/>
    <w:rsid w:val="00895C0F"/>
    <w:rsid w:val="008A22A6"/>
    <w:rsid w:val="008B2A9D"/>
    <w:rsid w:val="008B392A"/>
    <w:rsid w:val="008B7891"/>
    <w:rsid w:val="008D25EC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3513D"/>
    <w:rsid w:val="009443B7"/>
    <w:rsid w:val="00965079"/>
    <w:rsid w:val="009773FF"/>
    <w:rsid w:val="0098134C"/>
    <w:rsid w:val="00984F7A"/>
    <w:rsid w:val="00986E2B"/>
    <w:rsid w:val="00996469"/>
    <w:rsid w:val="00996D52"/>
    <w:rsid w:val="009A1276"/>
    <w:rsid w:val="009A5F94"/>
    <w:rsid w:val="009A634E"/>
    <w:rsid w:val="009C05EC"/>
    <w:rsid w:val="009C427F"/>
    <w:rsid w:val="009E799C"/>
    <w:rsid w:val="009F50F5"/>
    <w:rsid w:val="00A01DBC"/>
    <w:rsid w:val="00A04BDB"/>
    <w:rsid w:val="00A2297C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10FA"/>
    <w:rsid w:val="00AF2854"/>
    <w:rsid w:val="00B233AC"/>
    <w:rsid w:val="00B24C72"/>
    <w:rsid w:val="00B310EB"/>
    <w:rsid w:val="00B404C6"/>
    <w:rsid w:val="00B465FC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38F1"/>
    <w:rsid w:val="00BC666A"/>
    <w:rsid w:val="00BD70EE"/>
    <w:rsid w:val="00BE3BAB"/>
    <w:rsid w:val="00BF1913"/>
    <w:rsid w:val="00BF2FB0"/>
    <w:rsid w:val="00C21624"/>
    <w:rsid w:val="00C26095"/>
    <w:rsid w:val="00C306FD"/>
    <w:rsid w:val="00C378A7"/>
    <w:rsid w:val="00C40D99"/>
    <w:rsid w:val="00C509CA"/>
    <w:rsid w:val="00C61AC7"/>
    <w:rsid w:val="00C66F35"/>
    <w:rsid w:val="00C6748D"/>
    <w:rsid w:val="00C87311"/>
    <w:rsid w:val="00C92C90"/>
    <w:rsid w:val="00C94581"/>
    <w:rsid w:val="00C94FE5"/>
    <w:rsid w:val="00C96271"/>
    <w:rsid w:val="00CB23EE"/>
    <w:rsid w:val="00CB5A8B"/>
    <w:rsid w:val="00CC1E7E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3620D"/>
    <w:rsid w:val="00D44A16"/>
    <w:rsid w:val="00D47311"/>
    <w:rsid w:val="00D5505E"/>
    <w:rsid w:val="00D57DBA"/>
    <w:rsid w:val="00D61246"/>
    <w:rsid w:val="00D66F7C"/>
    <w:rsid w:val="00D7042A"/>
    <w:rsid w:val="00D714B4"/>
    <w:rsid w:val="00D7677C"/>
    <w:rsid w:val="00DB24E1"/>
    <w:rsid w:val="00DD0C10"/>
    <w:rsid w:val="00DE2124"/>
    <w:rsid w:val="00DF032C"/>
    <w:rsid w:val="00DF0B72"/>
    <w:rsid w:val="00DF4DB0"/>
    <w:rsid w:val="00E25E0B"/>
    <w:rsid w:val="00E263CA"/>
    <w:rsid w:val="00E40B61"/>
    <w:rsid w:val="00E57826"/>
    <w:rsid w:val="00E70555"/>
    <w:rsid w:val="00E72508"/>
    <w:rsid w:val="00E765B5"/>
    <w:rsid w:val="00E84BA4"/>
    <w:rsid w:val="00E87002"/>
    <w:rsid w:val="00E8796B"/>
    <w:rsid w:val="00E93D8E"/>
    <w:rsid w:val="00EA7EA6"/>
    <w:rsid w:val="00EB0086"/>
    <w:rsid w:val="00EC03C9"/>
    <w:rsid w:val="00EC15FC"/>
    <w:rsid w:val="00EC6F78"/>
    <w:rsid w:val="00EC7D91"/>
    <w:rsid w:val="00EE25C6"/>
    <w:rsid w:val="00EE3392"/>
    <w:rsid w:val="00F06231"/>
    <w:rsid w:val="00F07564"/>
    <w:rsid w:val="00F159D3"/>
    <w:rsid w:val="00F23A20"/>
    <w:rsid w:val="00F45205"/>
    <w:rsid w:val="00F46C79"/>
    <w:rsid w:val="00F62B0E"/>
    <w:rsid w:val="00F66309"/>
    <w:rsid w:val="00F70B70"/>
    <w:rsid w:val="00F72617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7915</Words>
  <Characters>47495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7</cp:revision>
  <cp:lastPrinted>2025-02-12T13:09:00Z</cp:lastPrinted>
  <dcterms:created xsi:type="dcterms:W3CDTF">2024-05-06T10:52:00Z</dcterms:created>
  <dcterms:modified xsi:type="dcterms:W3CDTF">2025-02-14T07:11:00Z</dcterms:modified>
</cp:coreProperties>
</file>