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BAAF0" w14:textId="77777777" w:rsidR="00D4329F" w:rsidRPr="00D4329F" w:rsidRDefault="00D4329F" w:rsidP="00D4329F">
      <w:pPr>
        <w:shd w:val="clear" w:color="auto" w:fill="FFFFFF"/>
        <w:jc w:val="right"/>
        <w:rPr>
          <w:rFonts w:ascii="Poppins" w:hAnsi="Poppins" w:cs="Poppins"/>
          <w:sz w:val="18"/>
          <w:szCs w:val="18"/>
        </w:rPr>
      </w:pPr>
      <w:r w:rsidRPr="00D4329F">
        <w:rPr>
          <w:rFonts w:ascii="Poppins" w:hAnsi="Poppins" w:cs="Poppins"/>
          <w:sz w:val="18"/>
          <w:szCs w:val="18"/>
        </w:rPr>
        <w:t>zał</w:t>
      </w:r>
      <w:r w:rsidRPr="00D4329F">
        <w:rPr>
          <w:rFonts w:ascii="Poppins" w:eastAsia="TimesNewRoman" w:hAnsi="Poppins" w:cs="Poppins"/>
          <w:sz w:val="18"/>
          <w:szCs w:val="18"/>
        </w:rPr>
        <w:t>ą</w:t>
      </w:r>
      <w:r w:rsidRPr="00D4329F">
        <w:rPr>
          <w:rFonts w:ascii="Poppins" w:hAnsi="Poppins" w:cs="Poppins"/>
          <w:sz w:val="18"/>
          <w:szCs w:val="18"/>
        </w:rPr>
        <w:t>cznik nr 3</w:t>
      </w:r>
    </w:p>
    <w:p w14:paraId="403958F5" w14:textId="77777777" w:rsidR="00D4329F" w:rsidRPr="00D4329F" w:rsidRDefault="00D4329F" w:rsidP="00D4329F">
      <w:pPr>
        <w:shd w:val="clear" w:color="auto" w:fill="FFFFFF"/>
        <w:spacing w:after="240"/>
        <w:jc w:val="right"/>
        <w:rPr>
          <w:rFonts w:ascii="Poppins" w:hAnsi="Poppins" w:cs="Poppins"/>
          <w:sz w:val="18"/>
          <w:szCs w:val="18"/>
        </w:rPr>
      </w:pPr>
      <w:r w:rsidRPr="00D4329F">
        <w:rPr>
          <w:rFonts w:ascii="Poppins" w:hAnsi="Poppins" w:cs="Poppins"/>
          <w:sz w:val="18"/>
          <w:szCs w:val="18"/>
        </w:rPr>
        <w:t xml:space="preserve"> do zarządzenia  Nr 12/2024 Dyrektora ZGM z dnia 22.11.2024 r.</w:t>
      </w:r>
    </w:p>
    <w:p w14:paraId="42A3AE1C" w14:textId="787CD5E4" w:rsidR="00D4329F" w:rsidRPr="00D4329F" w:rsidRDefault="00D4329F" w:rsidP="00193BA6">
      <w:pPr>
        <w:adjustRightInd w:val="0"/>
        <w:jc w:val="center"/>
        <w:rPr>
          <w:rFonts w:ascii="Poppins" w:hAnsi="Poppins" w:cs="Poppins"/>
          <w:sz w:val="18"/>
          <w:szCs w:val="18"/>
        </w:rPr>
      </w:pPr>
      <w:r w:rsidRPr="00D4329F">
        <w:rPr>
          <w:rFonts w:ascii="Poppins" w:hAnsi="Poppins" w:cs="Poppins"/>
          <w:b/>
          <w:bCs/>
          <w:sz w:val="18"/>
          <w:szCs w:val="18"/>
        </w:rPr>
        <w:t>Regulamin zapytania ofertowego dotyczącego wyłonienia wykonawcy na wykonani</w:t>
      </w:r>
      <w:r w:rsidR="00CB734A">
        <w:rPr>
          <w:rFonts w:ascii="Poppins" w:hAnsi="Poppins" w:cs="Poppins"/>
          <w:b/>
          <w:bCs/>
          <w:sz w:val="18"/>
          <w:szCs w:val="18"/>
        </w:rPr>
        <w:t>e wymiany 2 szt. okien na klatce schodowej w budynku mieszkalnym wielorodzinnym przy ul. Śląskiej 17</w:t>
      </w:r>
      <w:r w:rsidR="00193BA6" w:rsidRPr="00193BA6">
        <w:rPr>
          <w:rFonts w:ascii="Poppins" w:hAnsi="Poppins" w:cs="Poppins"/>
          <w:b/>
          <w:bCs/>
          <w:sz w:val="18"/>
          <w:szCs w:val="18"/>
        </w:rPr>
        <w:t xml:space="preserve"> </w:t>
      </w:r>
      <w:r w:rsidR="00CB734A">
        <w:rPr>
          <w:rFonts w:ascii="Poppins" w:hAnsi="Poppins" w:cs="Poppins"/>
          <w:b/>
          <w:bCs/>
          <w:sz w:val="18"/>
          <w:szCs w:val="18"/>
        </w:rPr>
        <w:br/>
      </w:r>
      <w:r w:rsidR="00193BA6" w:rsidRPr="00193BA6">
        <w:rPr>
          <w:rFonts w:ascii="Poppins" w:hAnsi="Poppins" w:cs="Poppins"/>
          <w:b/>
          <w:bCs/>
          <w:sz w:val="18"/>
          <w:szCs w:val="18"/>
        </w:rPr>
        <w:t>w Gorzowie Wlkp.</w:t>
      </w:r>
    </w:p>
    <w:p w14:paraId="1C5B3DF8"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W postępowaniu wykonawca może złożyć za pośrednictwem platformy zakupowej jedną ofertę sporządzoną w języku polskim.</w:t>
      </w:r>
    </w:p>
    <w:p w14:paraId="736505BE" w14:textId="2131633D" w:rsidR="00D4329F" w:rsidRPr="00D4329F" w:rsidRDefault="00D4329F" w:rsidP="00D4329F">
      <w:pPr>
        <w:pStyle w:val="Akapitzlist"/>
        <w:numPr>
          <w:ilvl w:val="0"/>
          <w:numId w:val="7"/>
        </w:numPr>
        <w:suppressAutoHyphens/>
        <w:spacing w:after="0" w:line="240" w:lineRule="auto"/>
        <w:contextualSpacing w:val="0"/>
        <w:jc w:val="both"/>
        <w:rPr>
          <w:rFonts w:ascii="Poppins" w:hAnsi="Poppins" w:cs="Poppins"/>
          <w:sz w:val="18"/>
          <w:szCs w:val="18"/>
        </w:rPr>
      </w:pPr>
      <w:r w:rsidRPr="00D4329F">
        <w:rPr>
          <w:rFonts w:ascii="Poppins" w:hAnsi="Poppins" w:cs="Poppins"/>
          <w:sz w:val="18"/>
          <w:szCs w:val="18"/>
        </w:rPr>
        <w:t xml:space="preserve">Wykonawca ponosi wszelkie skutki nieprawidłowego złożenia oferty, w tym w szczególności: </w:t>
      </w:r>
      <w:r>
        <w:rPr>
          <w:rFonts w:ascii="Poppins" w:hAnsi="Poppins" w:cs="Poppins"/>
          <w:sz w:val="18"/>
          <w:szCs w:val="18"/>
        </w:rPr>
        <w:br/>
      </w:r>
      <w:r w:rsidRPr="00D4329F">
        <w:rPr>
          <w:rFonts w:ascii="Poppins" w:hAnsi="Poppins" w:cs="Poppins"/>
          <w:sz w:val="18"/>
          <w:szCs w:val="18"/>
        </w:rPr>
        <w:t xml:space="preserve">w niewłaściwym postępowaniu na platformie zakupowej, w niewłaściwym miejscu </w:t>
      </w:r>
      <w:r>
        <w:rPr>
          <w:rFonts w:ascii="Poppins" w:hAnsi="Poppins" w:cs="Poppins"/>
          <w:sz w:val="18"/>
          <w:szCs w:val="18"/>
        </w:rPr>
        <w:br/>
      </w:r>
      <w:r w:rsidRPr="00D4329F">
        <w:rPr>
          <w:rFonts w:ascii="Poppins" w:hAnsi="Poppins" w:cs="Poppins"/>
          <w:sz w:val="18"/>
          <w:szCs w:val="18"/>
        </w:rPr>
        <w:t>na platformie zakupowej, w niewłaściwym terminie, itp.</w:t>
      </w:r>
    </w:p>
    <w:p w14:paraId="059A4223"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Oferta musi zawierać wszelkie dane umożliwiające weryfikację wykonawcy, jak również wszelkie załączniki i oświadczenia wymagane przez Zamawiającego w zapytaniu ofertowym.</w:t>
      </w:r>
    </w:p>
    <w:p w14:paraId="09E7F2CA"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Nie dopuszcza się możliwości składania ofert wariantowych.</w:t>
      </w:r>
    </w:p>
    <w:p w14:paraId="2259DA18"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Co do zasady, oferty niekompletne, nieumożliwiające zidentyfikowania wykonawcy podlegają odrzuceniu, chyba że Zamawiający postanowi inaczej.</w:t>
      </w:r>
    </w:p>
    <w:p w14:paraId="6C1092B9" w14:textId="7EB8ECFA"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 xml:space="preserve">Oferta niezgodna z opisem przedmiotu zamówienia wskazanym w zapytaniu ofertowym, </w:t>
      </w:r>
      <w:r>
        <w:rPr>
          <w:rFonts w:ascii="Poppins" w:hAnsi="Poppins" w:cs="Poppins"/>
          <w:bCs/>
          <w:sz w:val="18"/>
          <w:szCs w:val="18"/>
        </w:rPr>
        <w:br/>
      </w:r>
      <w:r w:rsidRPr="00D4329F">
        <w:rPr>
          <w:rFonts w:ascii="Poppins" w:hAnsi="Poppins" w:cs="Poppins"/>
          <w:bCs/>
          <w:sz w:val="18"/>
          <w:szCs w:val="18"/>
        </w:rPr>
        <w:t>z zastrzeżeniem ust. 21 i 22 poniżej, podlega odrzuceniu.</w:t>
      </w:r>
    </w:p>
    <w:p w14:paraId="52D9B266"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O odrzuceniu ofert Zamawiający poinformuje wykonawców, których oferty zostały odrzucone podając uzasadnienie, nie później niż wraz z informacją o wyborze oferty najkorzystniejszej.</w:t>
      </w:r>
    </w:p>
    <w:p w14:paraId="049DE22D" w14:textId="77777777" w:rsidR="00D4329F" w:rsidRPr="00D4329F" w:rsidRDefault="00D4329F" w:rsidP="00D4329F">
      <w:pPr>
        <w:numPr>
          <w:ilvl w:val="0"/>
          <w:numId w:val="7"/>
        </w:numPr>
        <w:adjustRightInd w:val="0"/>
        <w:spacing w:after="0" w:line="240" w:lineRule="auto"/>
        <w:jc w:val="both"/>
        <w:rPr>
          <w:rFonts w:ascii="Poppins" w:hAnsi="Poppins" w:cs="Poppins"/>
          <w:bCs/>
          <w:color w:val="FF0000"/>
          <w:sz w:val="18"/>
          <w:szCs w:val="18"/>
        </w:rPr>
      </w:pPr>
      <w:r w:rsidRPr="00D4329F">
        <w:rPr>
          <w:rFonts w:ascii="Poppins" w:hAnsi="Poppins" w:cs="Poppins"/>
          <w:bCs/>
          <w:sz w:val="18"/>
          <w:szCs w:val="18"/>
        </w:rPr>
        <w:t>Oferty złożone po terminie nie będą rozpatrywane.</w:t>
      </w:r>
    </w:p>
    <w:p w14:paraId="37FA9A23"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Szczegółowej weryfikacji będą podlegać wszystkie oferty.</w:t>
      </w:r>
    </w:p>
    <w:p w14:paraId="23F7F6A0" w14:textId="17684083"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 xml:space="preserve">Zamówienie zostanie udzielone Wykonawcy, którego oferta nie będzie podlegała odrzuceniu, a który zaoferuje najkorzystniejsze warunki zgodnie z kryteriami oceny ofert przewidzianymi </w:t>
      </w:r>
      <w:r>
        <w:rPr>
          <w:rFonts w:ascii="Poppins" w:hAnsi="Poppins" w:cs="Poppins"/>
          <w:bCs/>
          <w:sz w:val="18"/>
          <w:szCs w:val="18"/>
        </w:rPr>
        <w:br/>
      </w:r>
      <w:r w:rsidRPr="00D4329F">
        <w:rPr>
          <w:rFonts w:ascii="Poppins" w:hAnsi="Poppins" w:cs="Poppins"/>
          <w:bCs/>
          <w:sz w:val="18"/>
          <w:szCs w:val="18"/>
        </w:rPr>
        <w:t>w treści zaproszenia.</w:t>
      </w:r>
    </w:p>
    <w:p w14:paraId="7ABD1DA8"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 xml:space="preserve">Dopuszcza się możliwość negocjowania warunków oferty, w szczególności w sytuacji, gdy przekracza ona możliwości finansowe Zamawiającego (negocjuje pełnomocnik wspólnot). </w:t>
      </w:r>
    </w:p>
    <w:p w14:paraId="4427A573" w14:textId="77777777" w:rsidR="00D4329F" w:rsidRPr="00D4329F" w:rsidRDefault="00D4329F" w:rsidP="00D4329F">
      <w:pPr>
        <w:numPr>
          <w:ilvl w:val="0"/>
          <w:numId w:val="7"/>
        </w:numPr>
        <w:adjustRightInd w:val="0"/>
        <w:spacing w:after="0" w:line="240" w:lineRule="auto"/>
        <w:jc w:val="both"/>
        <w:rPr>
          <w:rFonts w:ascii="Poppins" w:hAnsi="Poppins" w:cs="Poppins"/>
          <w:bCs/>
          <w:color w:val="FF0000"/>
          <w:sz w:val="18"/>
          <w:szCs w:val="18"/>
        </w:rPr>
      </w:pPr>
      <w:r w:rsidRPr="00D4329F">
        <w:rPr>
          <w:rFonts w:ascii="Poppins" w:hAnsi="Poppins" w:cs="Poppins"/>
          <w:bCs/>
          <w:sz w:val="18"/>
          <w:szCs w:val="18"/>
        </w:rPr>
        <w:t xml:space="preserve">Negocjacje będą prowadzone na Platformie Zakupowej z wykorzystaniem dostępnych na niej trybów i narzędzi, </w:t>
      </w:r>
    </w:p>
    <w:p w14:paraId="40030A83"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Jeżeli przedmiotem negocjacji jest wyłącznie cena, negocjuje się ze wskazanymi przez Zamawiającego wykonawcami, nie mniej niż 2. Jeżeli liczba ofert jest mniejsza lub równa 2, negocjacje prowadzi się ze wszystkimi wykonawcami.</w:t>
      </w:r>
    </w:p>
    <w:p w14:paraId="4FB72658" w14:textId="48F3B91B"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Jeżeli przedmiotem negocjacji są inne niż cena istotne warunki realizacji zamówienia,</w:t>
      </w:r>
      <w:r>
        <w:rPr>
          <w:rFonts w:ascii="Poppins" w:hAnsi="Poppins" w:cs="Poppins"/>
          <w:bCs/>
          <w:sz w:val="18"/>
          <w:szCs w:val="18"/>
        </w:rPr>
        <w:br/>
      </w:r>
      <w:r w:rsidRPr="00D4329F">
        <w:rPr>
          <w:rFonts w:ascii="Poppins" w:hAnsi="Poppins" w:cs="Poppins"/>
          <w:bCs/>
          <w:sz w:val="18"/>
          <w:szCs w:val="18"/>
        </w:rPr>
        <w:t xml:space="preserve"> w szczególności: zakres zamówienia, warunki płatności, termin wykonania – negocjuje się </w:t>
      </w:r>
      <w:r>
        <w:rPr>
          <w:rFonts w:ascii="Poppins" w:hAnsi="Poppins" w:cs="Poppins"/>
          <w:bCs/>
          <w:sz w:val="18"/>
          <w:szCs w:val="18"/>
        </w:rPr>
        <w:br/>
      </w:r>
      <w:r w:rsidRPr="00D4329F">
        <w:rPr>
          <w:rFonts w:ascii="Poppins" w:hAnsi="Poppins" w:cs="Poppins"/>
          <w:bCs/>
          <w:sz w:val="18"/>
          <w:szCs w:val="18"/>
        </w:rPr>
        <w:t xml:space="preserve">ze wszystkimi wykonawcami, którzy złożyli oferty. Ewentualne zmiany w tym zakresie </w:t>
      </w:r>
      <w:r>
        <w:rPr>
          <w:rFonts w:ascii="Poppins" w:hAnsi="Poppins" w:cs="Poppins"/>
          <w:bCs/>
          <w:sz w:val="18"/>
          <w:szCs w:val="18"/>
        </w:rPr>
        <w:br/>
      </w:r>
      <w:r w:rsidRPr="00D4329F">
        <w:rPr>
          <w:rFonts w:ascii="Poppins" w:hAnsi="Poppins" w:cs="Poppins"/>
          <w:bCs/>
          <w:sz w:val="18"/>
          <w:szCs w:val="18"/>
        </w:rPr>
        <w:t>w odniesieniu do pierwotnych warunków wymagają akceptacji Zamawiającego.</w:t>
      </w:r>
    </w:p>
    <w:p w14:paraId="4046E73E"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Prowadzone negocjacje maja charakter poufny.</w:t>
      </w:r>
    </w:p>
    <w:p w14:paraId="7B22173A" w14:textId="49111F38"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 xml:space="preserve">Negocjacje prowadzone za pomocą platformy zakupowej dokumentuje się za pomocą generowanych raportów lub historii korespondencji. Z negocjacji prowadzonych bezpośrednio sporządza się protokół w formie pisemnej. Wskazana dokumentacja </w:t>
      </w:r>
      <w:r>
        <w:rPr>
          <w:rFonts w:ascii="Poppins" w:hAnsi="Poppins" w:cs="Poppins"/>
          <w:bCs/>
          <w:sz w:val="18"/>
          <w:szCs w:val="18"/>
        </w:rPr>
        <w:br/>
      </w:r>
      <w:r w:rsidRPr="00D4329F">
        <w:rPr>
          <w:rFonts w:ascii="Poppins" w:hAnsi="Poppins" w:cs="Poppins"/>
          <w:bCs/>
          <w:sz w:val="18"/>
          <w:szCs w:val="18"/>
        </w:rPr>
        <w:t>z negocjacji stanowi załącznik do umowy.</w:t>
      </w:r>
    </w:p>
    <w:p w14:paraId="65E206E0" w14:textId="30E77C1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 xml:space="preserve">Dopuszcza się przesunięcie terminu składania ofert, w sytuacji braku ofert na co najmniej </w:t>
      </w:r>
      <w:r>
        <w:rPr>
          <w:rFonts w:ascii="Poppins" w:hAnsi="Poppins" w:cs="Poppins"/>
          <w:bCs/>
          <w:sz w:val="18"/>
          <w:szCs w:val="18"/>
        </w:rPr>
        <w:br/>
      </w:r>
      <w:r w:rsidRPr="00D4329F">
        <w:rPr>
          <w:rFonts w:ascii="Poppins" w:hAnsi="Poppins" w:cs="Poppins"/>
          <w:bCs/>
          <w:sz w:val="18"/>
          <w:szCs w:val="18"/>
        </w:rPr>
        <w:t xml:space="preserve">20 minut przed upływem uprzednio wyznaczonego. </w:t>
      </w:r>
    </w:p>
    <w:p w14:paraId="2B2EB47D"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lastRenderedPageBreak/>
        <w:t>Niezwłocznie po otwarciu ofert Zamawiający  udostępni wykonawcom, którzy złożyli oferty, na platformie zakupowej informację z otwarcia ofert zawierającą min. nazwy i adresy wykonawców oraz oferowane ceny.</w:t>
      </w:r>
    </w:p>
    <w:p w14:paraId="39CEF594"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W sytuacji, gdy cena jest jedynym kryterium oceny ofert, jeżeli nie będzie można wybrać oferty ze względu na fakt, że kilka ofert zostanie złożonych z tą samą ceną, Zamawiający może wezwać wykonawców do złożenia ofert dodatkowych lub przeprowadzić z nimi negocjacje. Do negocjacji mają zastosowanie postanowienia pkt 12-15 powyżej.</w:t>
      </w:r>
    </w:p>
    <w:p w14:paraId="53B00442"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Zamawiający dopuszcza możliwość zmiany kryteriów oceny po uzyskaniu ofert. Decyzję w tym zakresie podejmie Zamawiający, Wykonawcy zostaną o tym fakcie poinformowani, a w razie potrzeby zostaną wezwani do złożenia dodatkowych oświadczeń lub dokumentów, jak również o innych warunkach, co do których właściciele przewidują szczególny sposób postępowania.</w:t>
      </w:r>
    </w:p>
    <w:p w14:paraId="22A03B7C"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 xml:space="preserve"> Zamawiający może poprawić w ofercie oczywiste omyłki pisarskie i oczywiste omyłki rachunkowe.</w:t>
      </w:r>
    </w:p>
    <w:p w14:paraId="7816BFE9"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 xml:space="preserve"> Zamawiający może poprawić w ofercie inne omyłki polegające na niezgodności treści oferty z treścią zaproszenia za zgodą wykonawcy uzyskaną najpóźniej przed podpisaniem umowy.</w:t>
      </w:r>
    </w:p>
    <w:p w14:paraId="1BCD52DF"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Niezwłocznie po wyborze oferty najkorzystniejszej, zamieszczona zostanie informacja zwierająca co najmniej nazwę i adres wykonawcy i wartość oferty. W przypadku gdy podczas negocjacji dojdzie do zmiany warunków realizacji zamówienia, zamieszczone zostaną informacje o tych zmianach.</w:t>
      </w:r>
    </w:p>
    <w:p w14:paraId="2EF0E6FE"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Nie później niż w terminie dwóch tygodni od wyboru wykonawcy zostanie przygotowana i podpisana umowa z wykonawcą.</w:t>
      </w:r>
    </w:p>
    <w:p w14:paraId="6ADA57AB" w14:textId="5A301D7E"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 xml:space="preserve">Kierownik ADM informuje wykonawcę o terminie podpisania umowy. W przypadku niepodpisania umowy przez wykonawcę, umowa może zostać podpisana z kolejnym wykonawcą, którego oferta uzyskała status najkorzystniejszej. Warunkiem jest wyrażenie przez tego wykonawcę zgody na realizację zadania zgodnie ze złożoną ofertą oraz dysponowanie odpowiednimi środkami finansowymi przez </w:t>
      </w:r>
      <w:r w:rsidR="00E00B63">
        <w:rPr>
          <w:rFonts w:ascii="Poppins" w:hAnsi="Poppins" w:cs="Poppins"/>
          <w:bCs/>
          <w:sz w:val="18"/>
          <w:szCs w:val="18"/>
        </w:rPr>
        <w:t>Zamawiającego</w:t>
      </w:r>
      <w:r w:rsidRPr="00D4329F">
        <w:rPr>
          <w:rFonts w:ascii="Poppins" w:hAnsi="Poppins" w:cs="Poppins"/>
          <w:bCs/>
          <w:sz w:val="18"/>
          <w:szCs w:val="18"/>
        </w:rPr>
        <w:t>. W przeciwnym wypadku zostanie przeprowadzone nowe postępowanie.</w:t>
      </w:r>
    </w:p>
    <w:p w14:paraId="55621A34"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Zamawiający może unieważnić postępowanie w każdym czasie bez podania przyczyn, bądź z ich podaniem, w szczególności w przypadku kiedy najkorzystniejsza oferta będzie wyższa od możliwości finansowych Zamawiającego.</w:t>
      </w:r>
    </w:p>
    <w:p w14:paraId="2F942A10" w14:textId="77777777" w:rsidR="00D4329F" w:rsidRPr="00D4329F" w:rsidRDefault="00D4329F" w:rsidP="00D4329F">
      <w:pPr>
        <w:numPr>
          <w:ilvl w:val="0"/>
          <w:numId w:val="7"/>
        </w:numPr>
        <w:adjustRightInd w:val="0"/>
        <w:spacing w:after="0" w:line="240" w:lineRule="auto"/>
        <w:jc w:val="both"/>
        <w:rPr>
          <w:rFonts w:ascii="Poppins" w:hAnsi="Poppins" w:cs="Poppins"/>
          <w:b/>
          <w:sz w:val="18"/>
          <w:szCs w:val="18"/>
        </w:rPr>
      </w:pPr>
      <w:r w:rsidRPr="00D4329F">
        <w:rPr>
          <w:rFonts w:ascii="Poppins" w:hAnsi="Poppins" w:cs="Poppins"/>
          <w:b/>
          <w:sz w:val="18"/>
          <w:szCs w:val="18"/>
        </w:rPr>
        <w:t>Uczestnikom postępowania nie przysługuje prawo do składania jakichkolwiek odwołań.</w:t>
      </w:r>
    </w:p>
    <w:p w14:paraId="621E743D" w14:textId="77777777" w:rsidR="00D4329F" w:rsidRPr="00D4329F" w:rsidRDefault="00D4329F" w:rsidP="00D4329F">
      <w:pPr>
        <w:numPr>
          <w:ilvl w:val="0"/>
          <w:numId w:val="7"/>
        </w:numPr>
        <w:adjustRightInd w:val="0"/>
        <w:spacing w:after="0" w:line="240" w:lineRule="auto"/>
        <w:jc w:val="both"/>
        <w:rPr>
          <w:rFonts w:ascii="Poppins" w:hAnsi="Poppins" w:cs="Poppins"/>
          <w:b/>
          <w:sz w:val="18"/>
          <w:szCs w:val="18"/>
        </w:rPr>
      </w:pPr>
      <w:r w:rsidRPr="00D4329F">
        <w:rPr>
          <w:rFonts w:ascii="Poppins" w:hAnsi="Poppins" w:cs="Poppins"/>
          <w:b/>
          <w:sz w:val="18"/>
          <w:szCs w:val="18"/>
        </w:rPr>
        <w:t xml:space="preserve"> Zamawiający przewiduje również możliwość zmiany lub odwołania warunków zapytania, stosownie do art. 70</w:t>
      </w:r>
      <w:r w:rsidRPr="00D4329F">
        <w:rPr>
          <w:rFonts w:ascii="Poppins" w:hAnsi="Poppins" w:cs="Poppins"/>
          <w:b/>
          <w:sz w:val="18"/>
          <w:szCs w:val="18"/>
          <w:vertAlign w:val="superscript"/>
        </w:rPr>
        <w:t>1</w:t>
      </w:r>
      <w:r w:rsidRPr="00D4329F">
        <w:rPr>
          <w:rFonts w:ascii="Poppins" w:hAnsi="Poppins" w:cs="Poppins"/>
          <w:b/>
          <w:sz w:val="18"/>
          <w:szCs w:val="18"/>
        </w:rPr>
        <w:t xml:space="preserve"> Kodeksu Cywilnego.</w:t>
      </w:r>
    </w:p>
    <w:p w14:paraId="4E844F83" w14:textId="77777777" w:rsidR="00D4329F" w:rsidRDefault="00D4329F" w:rsidP="00D4329F">
      <w:pPr>
        <w:spacing w:after="0" w:line="240" w:lineRule="auto"/>
        <w:jc w:val="both"/>
        <w:rPr>
          <w:rFonts w:ascii="Poppins" w:hAnsi="Poppins" w:cs="Poppins"/>
          <w:sz w:val="18"/>
          <w:szCs w:val="18"/>
        </w:rPr>
      </w:pPr>
    </w:p>
    <w:p w14:paraId="0DBCFF7F" w14:textId="77777777" w:rsidR="00D4329F" w:rsidRDefault="00D4329F" w:rsidP="00D4329F">
      <w:pPr>
        <w:spacing w:after="0" w:line="240" w:lineRule="auto"/>
        <w:rPr>
          <w:rFonts w:ascii="Poppins" w:hAnsi="Poppins" w:cs="Poppins"/>
          <w:sz w:val="18"/>
          <w:szCs w:val="18"/>
        </w:rPr>
      </w:pPr>
    </w:p>
    <w:p w14:paraId="413F1A3D" w14:textId="77777777" w:rsidR="00D4329F" w:rsidRDefault="00D4329F" w:rsidP="00D4329F">
      <w:pPr>
        <w:spacing w:after="0" w:line="240" w:lineRule="auto"/>
        <w:rPr>
          <w:rFonts w:ascii="Poppins" w:hAnsi="Poppins" w:cs="Poppins"/>
          <w:sz w:val="18"/>
          <w:szCs w:val="18"/>
        </w:rPr>
      </w:pPr>
    </w:p>
    <w:p w14:paraId="455E2C7D" w14:textId="5D0BEDC7" w:rsidR="00D4329F" w:rsidRPr="00D4329F" w:rsidRDefault="00D4329F" w:rsidP="00D4329F">
      <w:pPr>
        <w:spacing w:after="0" w:line="240" w:lineRule="auto"/>
        <w:rPr>
          <w:rFonts w:ascii="Poppins" w:hAnsi="Poppins" w:cs="Poppins"/>
          <w:sz w:val="18"/>
          <w:szCs w:val="18"/>
        </w:rPr>
      </w:pPr>
      <w:r>
        <w:rPr>
          <w:rFonts w:ascii="Poppins" w:hAnsi="Poppins" w:cs="Poppins"/>
          <w:sz w:val="18"/>
          <w:szCs w:val="18"/>
        </w:rPr>
        <w:tab/>
      </w:r>
      <w:r>
        <w:rPr>
          <w:rFonts w:ascii="Poppins" w:hAnsi="Poppins" w:cs="Poppins"/>
          <w:sz w:val="18"/>
          <w:szCs w:val="18"/>
        </w:rPr>
        <w:tab/>
      </w:r>
      <w:r>
        <w:rPr>
          <w:rFonts w:ascii="Poppins" w:hAnsi="Poppins" w:cs="Poppins"/>
          <w:sz w:val="18"/>
          <w:szCs w:val="18"/>
        </w:rPr>
        <w:tab/>
      </w:r>
      <w:r>
        <w:rPr>
          <w:rFonts w:ascii="Poppins" w:hAnsi="Poppins" w:cs="Poppins"/>
          <w:sz w:val="18"/>
          <w:szCs w:val="18"/>
        </w:rPr>
        <w:tab/>
      </w:r>
      <w:r>
        <w:rPr>
          <w:rFonts w:ascii="Poppins" w:hAnsi="Poppins" w:cs="Poppins"/>
          <w:sz w:val="18"/>
          <w:szCs w:val="18"/>
        </w:rPr>
        <w:tab/>
      </w:r>
      <w:r>
        <w:rPr>
          <w:rFonts w:ascii="Poppins" w:hAnsi="Poppins" w:cs="Poppins"/>
          <w:sz w:val="18"/>
          <w:szCs w:val="18"/>
        </w:rPr>
        <w:tab/>
      </w:r>
      <w:r>
        <w:rPr>
          <w:rFonts w:ascii="Poppins" w:hAnsi="Poppins" w:cs="Poppins"/>
          <w:sz w:val="18"/>
          <w:szCs w:val="18"/>
        </w:rPr>
        <w:tab/>
      </w:r>
      <w:r>
        <w:rPr>
          <w:rFonts w:ascii="Poppins" w:hAnsi="Poppins" w:cs="Poppins"/>
          <w:sz w:val="18"/>
          <w:szCs w:val="18"/>
        </w:rPr>
        <w:tab/>
      </w:r>
      <w:r>
        <w:rPr>
          <w:rFonts w:ascii="Poppins" w:hAnsi="Poppins" w:cs="Poppins"/>
          <w:sz w:val="18"/>
          <w:szCs w:val="18"/>
        </w:rPr>
        <w:tab/>
      </w:r>
      <w:r w:rsidRPr="00D4329F">
        <w:rPr>
          <w:rFonts w:ascii="Poppins" w:hAnsi="Poppins" w:cs="Poppins"/>
          <w:sz w:val="18"/>
          <w:szCs w:val="18"/>
        </w:rPr>
        <w:t xml:space="preserve">Sporządził: </w:t>
      </w:r>
    </w:p>
    <w:p w14:paraId="48DD9991" w14:textId="360985AA" w:rsidR="00D4329F" w:rsidRPr="00D4329F" w:rsidRDefault="00D4329F" w:rsidP="00D4329F">
      <w:pPr>
        <w:spacing w:after="0" w:line="240" w:lineRule="auto"/>
        <w:rPr>
          <w:rFonts w:ascii="Poppins" w:hAnsi="Poppins" w:cs="Poppins"/>
          <w:sz w:val="18"/>
          <w:szCs w:val="18"/>
        </w:rPr>
      </w:pPr>
      <w:r>
        <w:rPr>
          <w:rFonts w:ascii="Poppins" w:hAnsi="Poppins" w:cs="Poppins"/>
          <w:sz w:val="18"/>
          <w:szCs w:val="18"/>
        </w:rPr>
        <w:tab/>
      </w:r>
      <w:r>
        <w:rPr>
          <w:rFonts w:ascii="Poppins" w:hAnsi="Poppins" w:cs="Poppins"/>
          <w:sz w:val="18"/>
          <w:szCs w:val="18"/>
        </w:rPr>
        <w:tab/>
      </w:r>
      <w:r>
        <w:rPr>
          <w:rFonts w:ascii="Poppins" w:hAnsi="Poppins" w:cs="Poppins"/>
          <w:sz w:val="18"/>
          <w:szCs w:val="18"/>
        </w:rPr>
        <w:tab/>
      </w:r>
      <w:r>
        <w:rPr>
          <w:rFonts w:ascii="Poppins" w:hAnsi="Poppins" w:cs="Poppins"/>
          <w:sz w:val="18"/>
          <w:szCs w:val="18"/>
        </w:rPr>
        <w:tab/>
      </w:r>
      <w:r>
        <w:rPr>
          <w:rFonts w:ascii="Poppins" w:hAnsi="Poppins" w:cs="Poppins"/>
          <w:sz w:val="18"/>
          <w:szCs w:val="18"/>
        </w:rPr>
        <w:tab/>
      </w:r>
      <w:r>
        <w:rPr>
          <w:rFonts w:ascii="Poppins" w:hAnsi="Poppins" w:cs="Poppins"/>
          <w:sz w:val="18"/>
          <w:szCs w:val="18"/>
        </w:rPr>
        <w:tab/>
      </w:r>
      <w:r>
        <w:rPr>
          <w:rFonts w:ascii="Poppins" w:hAnsi="Poppins" w:cs="Poppins"/>
          <w:sz w:val="18"/>
          <w:szCs w:val="18"/>
        </w:rPr>
        <w:tab/>
      </w:r>
      <w:r>
        <w:rPr>
          <w:rFonts w:ascii="Poppins" w:hAnsi="Poppins" w:cs="Poppins"/>
          <w:sz w:val="18"/>
          <w:szCs w:val="18"/>
        </w:rPr>
        <w:tab/>
      </w:r>
      <w:r>
        <w:rPr>
          <w:rFonts w:ascii="Poppins" w:hAnsi="Poppins" w:cs="Poppins"/>
          <w:sz w:val="18"/>
          <w:szCs w:val="18"/>
        </w:rPr>
        <w:tab/>
      </w:r>
      <w:r w:rsidR="00CB734A">
        <w:rPr>
          <w:rFonts w:ascii="Poppins" w:hAnsi="Poppins" w:cs="Poppins"/>
          <w:sz w:val="18"/>
          <w:szCs w:val="18"/>
        </w:rPr>
        <w:t>16.04.2025 r.</w:t>
      </w:r>
    </w:p>
    <w:p w14:paraId="78592790" w14:textId="090C8EEF" w:rsidR="00D4329F" w:rsidRPr="00D4329F" w:rsidRDefault="00D4329F" w:rsidP="00D4329F">
      <w:pPr>
        <w:spacing w:after="0" w:line="240" w:lineRule="auto"/>
        <w:rPr>
          <w:rFonts w:ascii="Poppins" w:hAnsi="Poppins" w:cs="Poppins"/>
          <w:sz w:val="18"/>
          <w:szCs w:val="18"/>
        </w:rPr>
      </w:pPr>
      <w:r>
        <w:rPr>
          <w:rFonts w:ascii="Poppins" w:hAnsi="Poppins" w:cs="Poppins"/>
          <w:sz w:val="18"/>
          <w:szCs w:val="18"/>
        </w:rPr>
        <w:tab/>
      </w:r>
      <w:r>
        <w:rPr>
          <w:rFonts w:ascii="Poppins" w:hAnsi="Poppins" w:cs="Poppins"/>
          <w:sz w:val="18"/>
          <w:szCs w:val="18"/>
        </w:rPr>
        <w:tab/>
      </w:r>
      <w:r>
        <w:rPr>
          <w:rFonts w:ascii="Poppins" w:hAnsi="Poppins" w:cs="Poppins"/>
          <w:sz w:val="18"/>
          <w:szCs w:val="18"/>
        </w:rPr>
        <w:tab/>
      </w:r>
      <w:r>
        <w:rPr>
          <w:rFonts w:ascii="Poppins" w:hAnsi="Poppins" w:cs="Poppins"/>
          <w:sz w:val="18"/>
          <w:szCs w:val="18"/>
        </w:rPr>
        <w:tab/>
      </w:r>
      <w:r>
        <w:rPr>
          <w:rFonts w:ascii="Poppins" w:hAnsi="Poppins" w:cs="Poppins"/>
          <w:sz w:val="18"/>
          <w:szCs w:val="18"/>
        </w:rPr>
        <w:tab/>
      </w:r>
      <w:r>
        <w:rPr>
          <w:rFonts w:ascii="Poppins" w:hAnsi="Poppins" w:cs="Poppins"/>
          <w:sz w:val="18"/>
          <w:szCs w:val="18"/>
        </w:rPr>
        <w:tab/>
      </w:r>
      <w:r>
        <w:rPr>
          <w:rFonts w:ascii="Poppins" w:hAnsi="Poppins" w:cs="Poppins"/>
          <w:sz w:val="18"/>
          <w:szCs w:val="18"/>
        </w:rPr>
        <w:tab/>
      </w:r>
      <w:r>
        <w:rPr>
          <w:rFonts w:ascii="Poppins" w:hAnsi="Poppins" w:cs="Poppins"/>
          <w:sz w:val="18"/>
          <w:szCs w:val="18"/>
        </w:rPr>
        <w:tab/>
      </w:r>
      <w:r>
        <w:rPr>
          <w:rFonts w:ascii="Poppins" w:hAnsi="Poppins" w:cs="Poppins"/>
          <w:sz w:val="18"/>
          <w:szCs w:val="18"/>
        </w:rPr>
        <w:tab/>
      </w:r>
      <w:r w:rsidRPr="00D4329F">
        <w:rPr>
          <w:rFonts w:ascii="Poppins" w:hAnsi="Poppins" w:cs="Poppins"/>
          <w:sz w:val="18"/>
          <w:szCs w:val="18"/>
        </w:rPr>
        <w:t>Z-ca Kierownika ADM</w:t>
      </w:r>
      <w:r>
        <w:rPr>
          <w:rFonts w:ascii="Poppins" w:hAnsi="Poppins" w:cs="Poppins"/>
          <w:sz w:val="18"/>
          <w:szCs w:val="18"/>
        </w:rPr>
        <w:t>-2</w:t>
      </w:r>
    </w:p>
    <w:p w14:paraId="0F4FC1FE" w14:textId="1AFB5CAD" w:rsidR="00D4329F" w:rsidRPr="00D4329F" w:rsidRDefault="00D4329F" w:rsidP="00D4329F">
      <w:pPr>
        <w:spacing w:after="0" w:line="240" w:lineRule="auto"/>
        <w:rPr>
          <w:rFonts w:ascii="Poppins" w:hAnsi="Poppins" w:cs="Poppins"/>
          <w:sz w:val="18"/>
          <w:szCs w:val="18"/>
        </w:rPr>
      </w:pPr>
      <w:r>
        <w:rPr>
          <w:rFonts w:ascii="Poppins" w:hAnsi="Poppins" w:cs="Poppins"/>
          <w:sz w:val="18"/>
          <w:szCs w:val="18"/>
        </w:rPr>
        <w:tab/>
      </w:r>
      <w:r>
        <w:rPr>
          <w:rFonts w:ascii="Poppins" w:hAnsi="Poppins" w:cs="Poppins"/>
          <w:sz w:val="18"/>
          <w:szCs w:val="18"/>
        </w:rPr>
        <w:tab/>
      </w:r>
      <w:r>
        <w:rPr>
          <w:rFonts w:ascii="Poppins" w:hAnsi="Poppins" w:cs="Poppins"/>
          <w:sz w:val="18"/>
          <w:szCs w:val="18"/>
        </w:rPr>
        <w:tab/>
      </w:r>
      <w:r>
        <w:rPr>
          <w:rFonts w:ascii="Poppins" w:hAnsi="Poppins" w:cs="Poppins"/>
          <w:sz w:val="18"/>
          <w:szCs w:val="18"/>
        </w:rPr>
        <w:tab/>
      </w:r>
      <w:r>
        <w:rPr>
          <w:rFonts w:ascii="Poppins" w:hAnsi="Poppins" w:cs="Poppins"/>
          <w:sz w:val="18"/>
          <w:szCs w:val="18"/>
        </w:rPr>
        <w:tab/>
      </w:r>
      <w:r>
        <w:rPr>
          <w:rFonts w:ascii="Poppins" w:hAnsi="Poppins" w:cs="Poppins"/>
          <w:sz w:val="18"/>
          <w:szCs w:val="18"/>
        </w:rPr>
        <w:tab/>
      </w:r>
      <w:r>
        <w:rPr>
          <w:rFonts w:ascii="Poppins" w:hAnsi="Poppins" w:cs="Poppins"/>
          <w:sz w:val="18"/>
          <w:szCs w:val="18"/>
        </w:rPr>
        <w:tab/>
      </w:r>
      <w:r>
        <w:rPr>
          <w:rFonts w:ascii="Poppins" w:hAnsi="Poppins" w:cs="Poppins"/>
          <w:sz w:val="18"/>
          <w:szCs w:val="18"/>
        </w:rPr>
        <w:tab/>
      </w:r>
      <w:r>
        <w:rPr>
          <w:rFonts w:ascii="Poppins" w:hAnsi="Poppins" w:cs="Poppins"/>
          <w:sz w:val="18"/>
          <w:szCs w:val="18"/>
        </w:rPr>
        <w:tab/>
      </w:r>
      <w:r w:rsidRPr="00D4329F">
        <w:rPr>
          <w:rFonts w:ascii="Poppins" w:hAnsi="Poppins" w:cs="Poppins"/>
          <w:sz w:val="18"/>
          <w:szCs w:val="18"/>
        </w:rPr>
        <w:t xml:space="preserve">Katarzyna </w:t>
      </w:r>
      <w:r>
        <w:rPr>
          <w:rFonts w:ascii="Poppins" w:hAnsi="Poppins" w:cs="Poppins"/>
          <w:sz w:val="18"/>
          <w:szCs w:val="18"/>
        </w:rPr>
        <w:t>Foliń</w:t>
      </w:r>
      <w:r w:rsidRPr="00D4329F">
        <w:rPr>
          <w:rFonts w:ascii="Poppins" w:hAnsi="Poppins" w:cs="Poppins"/>
          <w:sz w:val="18"/>
          <w:szCs w:val="18"/>
        </w:rPr>
        <w:t>ska</w:t>
      </w:r>
    </w:p>
    <w:p w14:paraId="66DD3901" w14:textId="77777777" w:rsidR="009A64F8" w:rsidRPr="00D4329F" w:rsidRDefault="009A64F8" w:rsidP="00D4329F">
      <w:pPr>
        <w:spacing w:after="0" w:line="240" w:lineRule="auto"/>
        <w:rPr>
          <w:sz w:val="18"/>
          <w:szCs w:val="18"/>
        </w:rPr>
      </w:pPr>
    </w:p>
    <w:sectPr w:rsidR="009A64F8" w:rsidRPr="00D4329F" w:rsidSect="00566C95">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F22F5" w14:textId="77777777" w:rsidR="00D164B9" w:rsidRDefault="00D164B9">
      <w:pPr>
        <w:spacing w:after="0" w:line="240" w:lineRule="auto"/>
      </w:pPr>
      <w:r>
        <w:separator/>
      </w:r>
    </w:p>
  </w:endnote>
  <w:endnote w:type="continuationSeparator" w:id="0">
    <w:p w14:paraId="0C014C11" w14:textId="77777777" w:rsidR="00D164B9" w:rsidRDefault="00D16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oppins">
    <w:panose1 w:val="00000500000000000000"/>
    <w:charset w:val="EE"/>
    <w:family w:val="auto"/>
    <w:pitch w:val="variable"/>
    <w:sig w:usb0="00008007" w:usb1="00000000" w:usb2="00000000" w:usb3="00000000" w:csb0="00000093" w:csb1="00000000"/>
  </w:font>
  <w:font w:name="TimesNewRoman">
    <w:altName w:val="MS Gothic"/>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C8441A9" w14:paraId="1D1FE841" w14:textId="77777777" w:rsidTr="7C8441A9">
      <w:trPr>
        <w:trHeight w:val="300"/>
      </w:trPr>
      <w:tc>
        <w:tcPr>
          <w:tcW w:w="3005" w:type="dxa"/>
        </w:tcPr>
        <w:p w14:paraId="12C07C5D" w14:textId="1D4C2F3E" w:rsidR="7C8441A9" w:rsidRDefault="7C8441A9" w:rsidP="7C8441A9">
          <w:pPr>
            <w:pStyle w:val="Nagwek"/>
            <w:ind w:left="-115"/>
          </w:pPr>
        </w:p>
      </w:tc>
      <w:tc>
        <w:tcPr>
          <w:tcW w:w="3005" w:type="dxa"/>
        </w:tcPr>
        <w:p w14:paraId="2CF70EA1" w14:textId="3D585870" w:rsidR="7C8441A9" w:rsidRDefault="7C8441A9" w:rsidP="7C8441A9">
          <w:pPr>
            <w:pStyle w:val="Nagwek"/>
            <w:jc w:val="center"/>
          </w:pPr>
          <w:r>
            <w:rPr>
              <w:noProof/>
              <w:lang w:eastAsia="pl-PL"/>
            </w:rPr>
            <w:drawing>
              <wp:inline distT="0" distB="0" distL="0" distR="0" wp14:anchorId="1919F15E" wp14:editId="1E672282">
                <wp:extent cx="952500" cy="190500"/>
                <wp:effectExtent l="0" t="0" r="0" b="0"/>
                <wp:docPr id="1997815638" name="Obraz 199781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tc>
      <w:tc>
        <w:tcPr>
          <w:tcW w:w="3005" w:type="dxa"/>
        </w:tcPr>
        <w:p w14:paraId="43C238B8" w14:textId="3B6728E5" w:rsidR="7C8441A9" w:rsidRDefault="7C8441A9" w:rsidP="7C8441A9">
          <w:pPr>
            <w:pStyle w:val="Nagwek"/>
            <w:ind w:right="-115"/>
            <w:jc w:val="right"/>
          </w:pPr>
        </w:p>
      </w:tc>
    </w:tr>
  </w:tbl>
  <w:p w14:paraId="1040B3EB" w14:textId="62E8667A" w:rsidR="7C8441A9" w:rsidRDefault="7C8441A9" w:rsidP="7C8441A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7D7FCB" w14:paraId="469B34BC" w14:textId="77777777" w:rsidTr="00E20EC2">
      <w:trPr>
        <w:trHeight w:val="300"/>
      </w:trPr>
      <w:tc>
        <w:tcPr>
          <w:tcW w:w="3005" w:type="dxa"/>
        </w:tcPr>
        <w:p w14:paraId="4A3902FE" w14:textId="77777777" w:rsidR="007D7FCB" w:rsidRDefault="007D7FCB" w:rsidP="007D7FCB">
          <w:pPr>
            <w:pStyle w:val="Nagwek"/>
            <w:ind w:left="-115"/>
          </w:pPr>
        </w:p>
      </w:tc>
      <w:tc>
        <w:tcPr>
          <w:tcW w:w="3005" w:type="dxa"/>
        </w:tcPr>
        <w:p w14:paraId="08349E92" w14:textId="77777777" w:rsidR="007D7FCB" w:rsidRDefault="007D7FCB" w:rsidP="007D7FCB">
          <w:pPr>
            <w:pStyle w:val="Nagwek"/>
            <w:jc w:val="center"/>
          </w:pPr>
          <w:r>
            <w:rPr>
              <w:noProof/>
              <w:lang w:eastAsia="pl-PL"/>
            </w:rPr>
            <w:drawing>
              <wp:inline distT="0" distB="0" distL="0" distR="0" wp14:anchorId="4B42E929" wp14:editId="60F7B411">
                <wp:extent cx="952500" cy="190500"/>
                <wp:effectExtent l="0" t="0" r="0" b="0"/>
                <wp:docPr id="1105514955" name="Obraz 1105514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tc>
      <w:tc>
        <w:tcPr>
          <w:tcW w:w="3005" w:type="dxa"/>
        </w:tcPr>
        <w:p w14:paraId="65B407C6" w14:textId="77777777" w:rsidR="007D7FCB" w:rsidRDefault="007D7FCB" w:rsidP="007D7FCB">
          <w:pPr>
            <w:pStyle w:val="Nagwek"/>
            <w:ind w:right="-115"/>
            <w:jc w:val="right"/>
          </w:pPr>
        </w:p>
      </w:tc>
    </w:tr>
  </w:tbl>
  <w:p w14:paraId="7BCDEBFB" w14:textId="77777777" w:rsidR="007D7FCB" w:rsidRDefault="007D7F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D127C" w14:textId="77777777" w:rsidR="00D164B9" w:rsidRDefault="00D164B9">
      <w:pPr>
        <w:spacing w:after="0" w:line="240" w:lineRule="auto"/>
      </w:pPr>
      <w:r>
        <w:separator/>
      </w:r>
    </w:p>
  </w:footnote>
  <w:footnote w:type="continuationSeparator" w:id="0">
    <w:p w14:paraId="72ABEB38" w14:textId="77777777" w:rsidR="00D164B9" w:rsidRDefault="00D16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ABCF1" w14:textId="6E55204A" w:rsidR="007D7FCB" w:rsidRDefault="00740EAD">
    <w:pPr>
      <w:pStyle w:val="Nagwek"/>
    </w:pPr>
    <w:r>
      <w:rPr>
        <w:noProof/>
        <w:lang w:eastAsia="pl-PL"/>
      </w:rPr>
      <w:drawing>
        <wp:inline distT="0" distB="0" distL="0" distR="0" wp14:anchorId="78AC43A1" wp14:editId="487291EE">
          <wp:extent cx="4381500" cy="1314450"/>
          <wp:effectExtent l="0" t="0" r="0" b="0"/>
          <wp:docPr id="28376874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0" cy="1314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C70583"/>
    <w:multiLevelType w:val="hybridMultilevel"/>
    <w:tmpl w:val="316ECE28"/>
    <w:lvl w:ilvl="0" w:tplc="7076E902">
      <w:start w:val="1"/>
      <w:numFmt w:val="decimal"/>
      <w:lvlText w:val="%1."/>
      <w:lvlJc w:val="left"/>
      <w:pPr>
        <w:tabs>
          <w:tab w:val="num" w:pos="360"/>
        </w:tabs>
        <w:ind w:left="360" w:hanging="360"/>
      </w:pPr>
      <w:rPr>
        <w:rFonts w:ascii="Times New Roman" w:eastAsia="Times New Roman" w:hAnsi="Times New Roman" w:cs="Times New Roman"/>
        <w:b w:val="0"/>
        <w:bCs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3BA207FD"/>
    <w:multiLevelType w:val="hybridMultilevel"/>
    <w:tmpl w:val="CEDAF986"/>
    <w:lvl w:ilvl="0" w:tplc="35320EE8">
      <w:start w:val="1"/>
      <w:numFmt w:val="decimal"/>
      <w:lvlText w:val="%1"/>
      <w:lvlJc w:val="left"/>
      <w:pPr>
        <w:tabs>
          <w:tab w:val="num" w:pos="720"/>
        </w:tabs>
        <w:ind w:left="720" w:hanging="360"/>
      </w:pPr>
      <w:rPr>
        <w:rFonts w:ascii="Tahoma" w:eastAsia="Times New Roman" w:hAnsi="Tahoma" w:cs="Tahoma"/>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3C6D6616"/>
    <w:multiLevelType w:val="singleLevel"/>
    <w:tmpl w:val="0415000F"/>
    <w:lvl w:ilvl="0">
      <w:start w:val="1"/>
      <w:numFmt w:val="decimal"/>
      <w:lvlText w:val="%1."/>
      <w:lvlJc w:val="left"/>
      <w:pPr>
        <w:tabs>
          <w:tab w:val="num" w:pos="360"/>
        </w:tabs>
        <w:ind w:left="360" w:hanging="360"/>
      </w:pPr>
      <w:rPr>
        <w:rFonts w:hint="default"/>
      </w:rPr>
    </w:lvl>
  </w:abstractNum>
  <w:abstractNum w:abstractNumId="4" w15:restartNumberingAfterBreak="0">
    <w:nsid w:val="5BFC12B3"/>
    <w:multiLevelType w:val="hybridMultilevel"/>
    <w:tmpl w:val="50182AB4"/>
    <w:lvl w:ilvl="0" w:tplc="AAA623F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E6D498B"/>
    <w:multiLevelType w:val="hybridMultilevel"/>
    <w:tmpl w:val="398C17AA"/>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7A486C45"/>
    <w:multiLevelType w:val="hybridMultilevel"/>
    <w:tmpl w:val="6338D3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62054633">
    <w:abstractNumId w:val="0"/>
  </w:num>
  <w:num w:numId="2" w16cid:durableId="822084995">
    <w:abstractNumId w:val="3"/>
  </w:num>
  <w:num w:numId="3" w16cid:durableId="1012801616">
    <w:abstractNumId w:val="1"/>
  </w:num>
  <w:num w:numId="4" w16cid:durableId="1975793720">
    <w:abstractNumId w:val="5"/>
  </w:num>
  <w:num w:numId="5" w16cid:durableId="212011207">
    <w:abstractNumId w:val="2"/>
  </w:num>
  <w:num w:numId="6" w16cid:durableId="799374711">
    <w:abstractNumId w:val="6"/>
  </w:num>
  <w:num w:numId="7" w16cid:durableId="205306951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1B28E2"/>
    <w:rsid w:val="0003224E"/>
    <w:rsid w:val="000E25EC"/>
    <w:rsid w:val="000E6718"/>
    <w:rsid w:val="000F4115"/>
    <w:rsid w:val="00120AE2"/>
    <w:rsid w:val="00166B63"/>
    <w:rsid w:val="00193BA6"/>
    <w:rsid w:val="001E566E"/>
    <w:rsid w:val="00280E04"/>
    <w:rsid w:val="002D2D6B"/>
    <w:rsid w:val="00307FB0"/>
    <w:rsid w:val="00335DD8"/>
    <w:rsid w:val="00350574"/>
    <w:rsid w:val="00384414"/>
    <w:rsid w:val="00417903"/>
    <w:rsid w:val="00417D45"/>
    <w:rsid w:val="00443F55"/>
    <w:rsid w:val="00475C77"/>
    <w:rsid w:val="005127F0"/>
    <w:rsid w:val="0053044F"/>
    <w:rsid w:val="00566C95"/>
    <w:rsid w:val="00575F80"/>
    <w:rsid w:val="005B370B"/>
    <w:rsid w:val="005E4198"/>
    <w:rsid w:val="005F67DD"/>
    <w:rsid w:val="006110B5"/>
    <w:rsid w:val="006332C4"/>
    <w:rsid w:val="006758DC"/>
    <w:rsid w:val="00675F0C"/>
    <w:rsid w:val="00740EAD"/>
    <w:rsid w:val="0075029C"/>
    <w:rsid w:val="00764244"/>
    <w:rsid w:val="00767145"/>
    <w:rsid w:val="00794D88"/>
    <w:rsid w:val="007A3469"/>
    <w:rsid w:val="007D7FCB"/>
    <w:rsid w:val="00854006"/>
    <w:rsid w:val="008B4A86"/>
    <w:rsid w:val="009102E6"/>
    <w:rsid w:val="0092452F"/>
    <w:rsid w:val="009539D8"/>
    <w:rsid w:val="009A64F8"/>
    <w:rsid w:val="00A34483"/>
    <w:rsid w:val="00A45353"/>
    <w:rsid w:val="00AC57D1"/>
    <w:rsid w:val="00AE00F5"/>
    <w:rsid w:val="00B20EAD"/>
    <w:rsid w:val="00BA75BB"/>
    <w:rsid w:val="00C320CA"/>
    <w:rsid w:val="00C43100"/>
    <w:rsid w:val="00C50634"/>
    <w:rsid w:val="00C7032C"/>
    <w:rsid w:val="00C87792"/>
    <w:rsid w:val="00CB672B"/>
    <w:rsid w:val="00CB734A"/>
    <w:rsid w:val="00D164B9"/>
    <w:rsid w:val="00D4329F"/>
    <w:rsid w:val="00D91E8C"/>
    <w:rsid w:val="00E00B63"/>
    <w:rsid w:val="00E0466D"/>
    <w:rsid w:val="00E203E3"/>
    <w:rsid w:val="00E956D4"/>
    <w:rsid w:val="00EC2D91"/>
    <w:rsid w:val="00ED1223"/>
    <w:rsid w:val="00FD02E4"/>
    <w:rsid w:val="044A972C"/>
    <w:rsid w:val="0CC130F7"/>
    <w:rsid w:val="0CE79603"/>
    <w:rsid w:val="0F8C8F51"/>
    <w:rsid w:val="13F5E6D8"/>
    <w:rsid w:val="18C284A2"/>
    <w:rsid w:val="2A7372C9"/>
    <w:rsid w:val="2B277CFC"/>
    <w:rsid w:val="33900B5E"/>
    <w:rsid w:val="3CD98D0C"/>
    <w:rsid w:val="448FAB29"/>
    <w:rsid w:val="4C7FA09A"/>
    <w:rsid w:val="591B28E2"/>
    <w:rsid w:val="5A0166B4"/>
    <w:rsid w:val="6A9C8B6D"/>
    <w:rsid w:val="7C8441A9"/>
    <w:rsid w:val="7DC49426"/>
    <w:rsid w:val="7F9DD4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B28E2"/>
  <w15:chartTrackingRefBased/>
  <w15:docId w15:val="{881F3459-6869-48A6-95C0-EA0124185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5E4198"/>
    <w:pPr>
      <w:keepNext/>
      <w:numPr>
        <w:numId w:val="1"/>
      </w:numPr>
      <w:suppressAutoHyphens/>
      <w:spacing w:after="0" w:line="240" w:lineRule="auto"/>
      <w:jc w:val="center"/>
      <w:outlineLvl w:val="0"/>
    </w:pPr>
    <w:rPr>
      <w:rFonts w:ascii="Times New Roman" w:eastAsia="Times New Roman" w:hAnsi="Times New Roman" w:cs="Times New Roman"/>
      <w:b/>
      <w:sz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style>
  <w:style w:type="paragraph" w:styleId="Nagwek">
    <w:name w:val="header"/>
    <w:basedOn w:val="Normalny"/>
    <w:link w:val="NagwekZnak"/>
    <w:uiPriority w:val="99"/>
    <w:unhideWhenUsed/>
    <w:pPr>
      <w:tabs>
        <w:tab w:val="center" w:pos="4680"/>
        <w:tab w:val="right" w:pos="9360"/>
      </w:tabs>
      <w:spacing w:after="0" w:line="240" w:lineRule="auto"/>
    </w:p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opkaZnak">
    <w:name w:val="Stopka Znak"/>
    <w:basedOn w:val="Domylnaczcionkaakapitu"/>
    <w:link w:val="Stopka"/>
    <w:uiPriority w:val="99"/>
  </w:style>
  <w:style w:type="paragraph" w:styleId="Stopka">
    <w:name w:val="footer"/>
    <w:basedOn w:val="Normalny"/>
    <w:link w:val="StopkaZnak"/>
    <w:uiPriority w:val="99"/>
    <w:unhideWhenUsed/>
    <w:pPr>
      <w:tabs>
        <w:tab w:val="center" w:pos="4680"/>
        <w:tab w:val="right" w:pos="9360"/>
      </w:tabs>
      <w:spacing w:after="0" w:line="240" w:lineRule="auto"/>
    </w:pPr>
  </w:style>
  <w:style w:type="character" w:customStyle="1" w:styleId="Nagwek1Znak">
    <w:name w:val="Nagłówek 1 Znak"/>
    <w:basedOn w:val="Domylnaczcionkaakapitu"/>
    <w:link w:val="Nagwek1"/>
    <w:rsid w:val="005E4198"/>
    <w:rPr>
      <w:rFonts w:ascii="Times New Roman" w:eastAsia="Times New Roman" w:hAnsi="Times New Roman" w:cs="Times New Roman"/>
      <w:b/>
      <w:sz w:val="36"/>
      <w:lang w:eastAsia="pl-PL"/>
    </w:rPr>
  </w:style>
  <w:style w:type="paragraph" w:customStyle="1" w:styleId="WW-Tekstpodstawowywcity2">
    <w:name w:val="WW-Tekst podstawowy wcięty 2"/>
    <w:basedOn w:val="Normalny"/>
    <w:rsid w:val="005E4198"/>
    <w:pPr>
      <w:suppressAutoHyphens/>
      <w:spacing w:after="0" w:line="240" w:lineRule="auto"/>
      <w:ind w:left="720" w:firstLine="1"/>
      <w:jc w:val="center"/>
    </w:pPr>
    <w:rPr>
      <w:rFonts w:ascii="Times New Roman" w:eastAsia="Times New Roman" w:hAnsi="Times New Roman" w:cs="Times New Roman"/>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75029C"/>
    <w:pPr>
      <w:ind w:left="720"/>
      <w:contextualSpacing/>
    </w:pPr>
  </w:style>
  <w:style w:type="character" w:styleId="Hipercze">
    <w:name w:val="Hyperlink"/>
    <w:basedOn w:val="Domylnaczcionkaakapitu"/>
    <w:uiPriority w:val="99"/>
    <w:rsid w:val="009A64F8"/>
    <w:rPr>
      <w:rFonts w:cs="Times New Roman"/>
      <w:color w:val="0000FF"/>
      <w:u w:val="single"/>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9A64F8"/>
  </w:style>
  <w:style w:type="paragraph" w:customStyle="1" w:styleId="Akapitzlist1">
    <w:name w:val="Akapit z listą1"/>
    <w:aliases w:val="Eko punkty,podpunkt"/>
    <w:basedOn w:val="Normalny"/>
    <w:link w:val="ListParagraphChar"/>
    <w:qFormat/>
    <w:rsid w:val="009A64F8"/>
    <w:pPr>
      <w:spacing w:line="256" w:lineRule="auto"/>
      <w:ind w:left="720"/>
      <w:contextualSpacing/>
    </w:pPr>
    <w:rPr>
      <w:rFonts w:ascii="Calibri" w:eastAsiaTheme="minorEastAsia" w:hAnsi="Calibri" w:cs="Calibri"/>
      <w:sz w:val="22"/>
      <w:szCs w:val="22"/>
    </w:rPr>
  </w:style>
  <w:style w:type="character" w:customStyle="1" w:styleId="ListParagraphChar">
    <w:name w:val="List Paragraph Char"/>
    <w:aliases w:val="Eko punkty Char,podpunkt Char"/>
    <w:link w:val="Akapitzlist1"/>
    <w:locked/>
    <w:rsid w:val="009A64F8"/>
    <w:rPr>
      <w:rFonts w:ascii="Calibri" w:eastAsiaTheme="minorEastAsia" w:hAnsi="Calibri" w:cs="Calibri"/>
      <w:sz w:val="22"/>
      <w:szCs w:val="22"/>
    </w:rPr>
  </w:style>
  <w:style w:type="paragraph" w:styleId="Tekstpodstawowy3">
    <w:name w:val="Body Text 3"/>
    <w:basedOn w:val="Normalny"/>
    <w:link w:val="Tekstpodstawowy3Znak"/>
    <w:unhideWhenUsed/>
    <w:rsid w:val="00C87792"/>
    <w:pPr>
      <w:spacing w:after="120" w:line="240" w:lineRule="auto"/>
    </w:pPr>
    <w:rPr>
      <w:rFonts w:ascii="Arial" w:eastAsia="Times New Roman" w:hAnsi="Arial" w:cs="Times New Roman"/>
      <w:color w:val="000000"/>
      <w:kern w:val="22"/>
      <w:sz w:val="16"/>
      <w:szCs w:val="16"/>
      <w:lang w:val="x-none" w:eastAsia="x-none"/>
    </w:rPr>
  </w:style>
  <w:style w:type="character" w:customStyle="1" w:styleId="Tekstpodstawowy3Znak">
    <w:name w:val="Tekst podstawowy 3 Znak"/>
    <w:basedOn w:val="Domylnaczcionkaakapitu"/>
    <w:link w:val="Tekstpodstawowy3"/>
    <w:rsid w:val="00C87792"/>
    <w:rPr>
      <w:rFonts w:ascii="Arial" w:eastAsia="Times New Roman" w:hAnsi="Arial" w:cs="Times New Roman"/>
      <w:color w:val="000000"/>
      <w:kern w:val="22"/>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778</Words>
  <Characters>4669</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 Januszewska</dc:creator>
  <cp:keywords/>
  <dc:description/>
  <cp:lastModifiedBy>Katarzyna Folińska</cp:lastModifiedBy>
  <cp:revision>2</cp:revision>
  <cp:lastPrinted>2024-12-06T11:15:00Z</cp:lastPrinted>
  <dcterms:created xsi:type="dcterms:W3CDTF">2025-04-16T10:48:00Z</dcterms:created>
  <dcterms:modified xsi:type="dcterms:W3CDTF">2025-04-16T10:48:00Z</dcterms:modified>
</cp:coreProperties>
</file>