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0EDE1CCB"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E15FDF">
        <w:rPr>
          <w:rFonts w:ascii="Arial" w:hAnsi="Arial" w:cs="Arial"/>
          <w:sz w:val="18"/>
          <w:szCs w:val="18"/>
        </w:rPr>
        <w:t>m</w:t>
      </w:r>
      <w:r w:rsidR="00D760C6" w:rsidRPr="007205A5">
        <w:rPr>
          <w:rFonts w:ascii="Arial" w:hAnsi="Arial" w:cs="Arial"/>
          <w:sz w:val="18"/>
          <w:szCs w:val="18"/>
        </w:rPr>
        <w:t>odernizacj</w:t>
      </w:r>
      <w:r w:rsidR="00E15FDF">
        <w:rPr>
          <w:rFonts w:ascii="Arial" w:hAnsi="Arial" w:cs="Arial"/>
          <w:sz w:val="18"/>
          <w:szCs w:val="18"/>
        </w:rPr>
        <w:t>i</w:t>
      </w:r>
      <w:r w:rsidR="00D760C6" w:rsidRPr="007205A5">
        <w:rPr>
          <w:rFonts w:ascii="Arial" w:hAnsi="Arial" w:cs="Arial"/>
          <w:sz w:val="18"/>
          <w:szCs w:val="18"/>
        </w:rPr>
        <w:t xml:space="preserve"> i przebudow</w:t>
      </w:r>
      <w:r w:rsidR="00BF425F">
        <w:rPr>
          <w:rFonts w:ascii="Arial" w:hAnsi="Arial" w:cs="Arial"/>
          <w:sz w:val="18"/>
          <w:szCs w:val="18"/>
        </w:rPr>
        <w:t>ie</w:t>
      </w:r>
      <w:r w:rsidR="00D760C6" w:rsidRPr="007205A5">
        <w:rPr>
          <w:rFonts w:ascii="Arial" w:hAnsi="Arial" w:cs="Arial"/>
          <w:sz w:val="18"/>
          <w:szCs w:val="18"/>
        </w:rPr>
        <w:t xml:space="preserve"> dróg powiatowych na terenie gminy miejskiej Jarosław- odnowa drogi powiatowej Nr 1759R ulica Stojałowskiego w Jarosławiu</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F425F">
        <w:rPr>
          <w:rFonts w:ascii="Arial" w:hAnsi="Arial" w:cs="Arial"/>
          <w:b w:val="0"/>
          <w:sz w:val="18"/>
          <w:szCs w:val="18"/>
        </w:rPr>
        <w:t>j</w:t>
      </w:r>
      <w:r w:rsidRPr="00317FE7">
        <w:rPr>
          <w:rFonts w:ascii="Arial" w:hAnsi="Arial" w:cs="Arial"/>
          <w:b w:val="0"/>
          <w:sz w:val="18"/>
          <w:szCs w:val="18"/>
        </w:rPr>
        <w:t xml:space="preserve"> jako STWiORB</w:t>
      </w:r>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30657ACF" w14:textId="6B8939F4" w:rsidR="00F11DFF" w:rsidRDefault="00F11DFF" w:rsidP="00F11DFF">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(roboty pomiarowe)</w:t>
      </w:r>
      <w:r w:rsidRPr="00EE295E">
        <w:rPr>
          <w:rFonts w:ascii="Arial" w:eastAsia="CIDFont+F3" w:hAnsi="Arial" w:cs="Arial"/>
          <w:sz w:val="18"/>
          <w:szCs w:val="18"/>
        </w:rPr>
        <w:t xml:space="preserve">, </w:t>
      </w:r>
    </w:p>
    <w:p w14:paraId="40252859" w14:textId="77777777" w:rsidR="00F11DFF" w:rsidRPr="00EE295E" w:rsidRDefault="00F11DFF" w:rsidP="00F11DFF">
      <w:pPr>
        <w:jc w:val="both"/>
        <w:rPr>
          <w:rFonts w:ascii="Arial" w:eastAsia="CIDFont+F3" w:hAnsi="Arial" w:cs="Arial"/>
          <w:sz w:val="18"/>
          <w:szCs w:val="18"/>
        </w:rPr>
      </w:pPr>
      <w:r>
        <w:rPr>
          <w:rFonts w:ascii="Arial" w:eastAsia="CIDFont+F3" w:hAnsi="Arial" w:cs="Arial"/>
          <w:sz w:val="18"/>
          <w:szCs w:val="18"/>
        </w:rPr>
        <w:t xml:space="preserve">  2) roboty rozbiórkowe,</w:t>
      </w:r>
    </w:p>
    <w:p w14:paraId="6C89AD4E" w14:textId="77777777" w:rsidR="00F11DFF" w:rsidRDefault="00F11DFF" w:rsidP="00F11DFF">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krawężniki i obrzeża ( nawierzchnia opaski przy jezdni strona lewa i prawa),</w:t>
      </w:r>
      <w:r w:rsidRPr="00EE295E">
        <w:rPr>
          <w:rFonts w:ascii="Arial" w:eastAsia="CIDFont+F3" w:hAnsi="Arial" w:cs="Arial"/>
          <w:sz w:val="18"/>
          <w:szCs w:val="18"/>
        </w:rPr>
        <w:t xml:space="preserve"> </w:t>
      </w:r>
    </w:p>
    <w:p w14:paraId="78CA7468" w14:textId="77777777" w:rsidR="00F11DFF" w:rsidRPr="00EE295E" w:rsidRDefault="00F11DFF" w:rsidP="00F11DFF">
      <w:pPr>
        <w:jc w:val="both"/>
        <w:rPr>
          <w:rFonts w:ascii="Arial" w:eastAsia="CIDFont+F3" w:hAnsi="Arial" w:cs="Arial"/>
          <w:sz w:val="18"/>
          <w:szCs w:val="18"/>
        </w:rPr>
      </w:pPr>
      <w:r>
        <w:rPr>
          <w:rFonts w:ascii="Arial" w:eastAsia="CIDFont+F3" w:hAnsi="Arial" w:cs="Arial"/>
          <w:sz w:val="18"/>
          <w:szCs w:val="18"/>
        </w:rPr>
        <w:t xml:space="preserve">  4) pozostałe roboty.</w:t>
      </w:r>
    </w:p>
    <w:p w14:paraId="3947000F" w14:textId="1475561B" w:rsidR="00F11DFF" w:rsidRPr="00F11DFF" w:rsidRDefault="000654ED" w:rsidP="00F04316">
      <w:pPr>
        <w:tabs>
          <w:tab w:val="left" w:pos="426"/>
          <w:tab w:val="left" w:pos="3600"/>
        </w:tabs>
        <w:ind w:left="426" w:hanging="426"/>
        <w:rPr>
          <w:rFonts w:ascii="Arial" w:hAnsi="Arial" w:cs="Arial"/>
          <w:sz w:val="18"/>
          <w:szCs w:val="18"/>
        </w:rPr>
      </w:pPr>
      <w:r>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Pr>
          <w:rFonts w:ascii="Arial" w:hAnsi="Arial" w:cs="Arial"/>
          <w:sz w:val="18"/>
          <w:szCs w:val="18"/>
        </w:rPr>
        <w:t>I</w:t>
      </w:r>
      <w:r w:rsidR="00F11DFF" w:rsidRPr="00F11DFF">
        <w:rPr>
          <w:rFonts w:ascii="Arial" w:hAnsi="Arial" w:cs="Arial"/>
          <w:sz w:val="18"/>
          <w:szCs w:val="18"/>
        </w:rPr>
        <w:t xml:space="preserve">nspektora nadzoru </w:t>
      </w:r>
      <w:r>
        <w:rPr>
          <w:rFonts w:ascii="Arial" w:hAnsi="Arial" w:cs="Arial"/>
          <w:sz w:val="18"/>
          <w:szCs w:val="18"/>
        </w:rPr>
        <w:t>.</w:t>
      </w:r>
    </w:p>
    <w:p w14:paraId="73DA0D4C" w14:textId="1B478DE4"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w:t>
      </w:r>
      <w:r w:rsidR="00BF425F">
        <w:rPr>
          <w:rFonts w:ascii="Arial" w:hAnsi="Arial" w:cs="Arial"/>
          <w:sz w:val="18"/>
          <w:szCs w:val="18"/>
        </w:rPr>
        <w:t>1</w:t>
      </w:r>
      <w:r w:rsidR="00F11DFF" w:rsidRPr="00F11DFF">
        <w:rPr>
          <w:rFonts w:ascii="Arial" w:hAnsi="Arial" w:cs="Arial"/>
          <w:sz w:val="18"/>
          <w:szCs w:val="18"/>
        </w:rPr>
        <w:t xml:space="preserve">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17FB9EBA"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F425F">
        <w:rPr>
          <w:rFonts w:ascii="Arial" w:hAnsi="Arial" w:cs="Arial"/>
          <w:sz w:val="18"/>
          <w:szCs w:val="18"/>
        </w:rPr>
        <w:t>5</w:t>
      </w:r>
      <w:r w:rsidRPr="00815C12">
        <w:rPr>
          <w:rFonts w:ascii="Arial" w:hAnsi="Arial" w:cs="Arial"/>
          <w:sz w:val="18"/>
          <w:szCs w:val="18"/>
        </w:rPr>
        <w:t>.</w:t>
      </w:r>
      <w:r w:rsidR="00BF425F">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229425F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64390F02"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Pr>
          <w:rFonts w:ascii="Arial" w:hAnsi="Arial" w:cs="Arial"/>
          <w:b/>
          <w:color w:val="4472C4" w:themeColor="accent1"/>
          <w:sz w:val="18"/>
          <w:szCs w:val="18"/>
        </w:rPr>
        <w:t>60</w:t>
      </w:r>
      <w:r w:rsidRPr="003B126D">
        <w:rPr>
          <w:rFonts w:ascii="Arial" w:hAnsi="Arial" w:cs="Arial"/>
          <w:b/>
          <w:color w:val="4472C4" w:themeColor="accent1"/>
          <w:sz w:val="18"/>
          <w:szCs w:val="18"/>
        </w:rPr>
        <w:t xml:space="preserve"> dni</w:t>
      </w:r>
      <w:r w:rsidRPr="003B126D">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67EB6888"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lastRenderedPageBreak/>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529DD814"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odbioru </w:t>
      </w:r>
      <w:r w:rsidR="002A199C">
        <w:rPr>
          <w:rFonts w:ascii="Arial" w:hAnsi="Arial" w:cs="Arial"/>
          <w:spacing w:val="-1"/>
          <w:sz w:val="18"/>
          <w:szCs w:val="18"/>
        </w:rPr>
        <w:t>koncowego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5EB0169B"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28B06E7B"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BA05DC1"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F425F">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lastRenderedPageBreak/>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655076C2"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F425F">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33AB68CD"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F425F">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4E824E80"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F425F">
        <w:rPr>
          <w:rFonts w:ascii="Arial" w:hAnsi="Arial" w:cs="Arial"/>
          <w:sz w:val="18"/>
          <w:szCs w:val="18"/>
        </w:rPr>
        <w:t xml:space="preserve"> 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3EE39786"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F425F">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89E82A"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 </w:t>
      </w:r>
      <w:r w:rsidR="00BF425F">
        <w:rPr>
          <w:rFonts w:ascii="Arial" w:hAnsi="Arial" w:cs="Arial"/>
          <w:sz w:val="18"/>
          <w:szCs w:val="18"/>
        </w:rPr>
        <w:t>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3442DC0C"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F425F">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77777777"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6D9EAC6A"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F425F">
        <w:rPr>
          <w:rFonts w:ascii="Arial" w:hAnsi="Arial" w:cs="Arial"/>
          <w:sz w:val="18"/>
          <w:szCs w:val="18"/>
        </w:rPr>
        <w:t>5.418</w:t>
      </w:r>
      <w:r w:rsidRPr="00815C12">
        <w:rPr>
          <w:rFonts w:ascii="Arial" w:hAnsi="Arial" w:cs="Arial"/>
          <w:sz w:val="18"/>
          <w:szCs w:val="18"/>
        </w:rPr>
        <w:t xml:space="preserve">)  </w:t>
      </w:r>
    </w:p>
    <w:p w14:paraId="3AB1F271" w14:textId="057B9639" w:rsidR="00FA65F7" w:rsidRPr="00780E31"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sprawowania kontroli zgodności realizacji robót budowlanych ,</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przepisami, zasadami wiedzy</w:t>
      </w: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lastRenderedPageBreak/>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33B28AD4"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w:t>
      </w:r>
      <w:r w:rsidR="00BF425F">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6384B51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04A7B6FE" w:rsidR="00FA65F7" w:rsidRPr="006E27DE" w:rsidRDefault="00FA65F7" w:rsidP="00FA65F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F425F">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lastRenderedPageBreak/>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7777777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xml:space="preserve">, do przedłożenia Zamawiającemu projektu tej umowy, przy czym Podwykonawca lub dalszy </w:t>
      </w:r>
      <w:r w:rsidRPr="00D31D19">
        <w:rPr>
          <w:rFonts w:ascii="Arial" w:hAnsi="Arial" w:cs="Arial"/>
          <w:sz w:val="18"/>
          <w:szCs w:val="18"/>
        </w:rPr>
        <w:lastRenderedPageBreak/>
        <w:t>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lastRenderedPageBreak/>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77777777"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4989C98F" w:rsidR="00FA65F7" w:rsidRDefault="00FA65F7" w:rsidP="00FA65F7">
      <w:pPr>
        <w:rPr>
          <w:rFonts w:ascii="Arial" w:hAnsi="Arial" w:cs="Arial"/>
          <w:sz w:val="18"/>
          <w:szCs w:val="18"/>
        </w:rPr>
      </w:pPr>
      <w:r w:rsidRPr="00890293">
        <w:rPr>
          <w:rFonts w:ascii="Arial" w:hAnsi="Arial" w:cs="Arial"/>
          <w:sz w:val="18"/>
          <w:szCs w:val="18"/>
        </w:rPr>
        <w:t xml:space="preserve">  5)</w:t>
      </w:r>
      <w:r w:rsidR="00BF425F">
        <w:rPr>
          <w:rFonts w:ascii="Arial" w:hAnsi="Arial" w:cs="Arial"/>
          <w:sz w:val="18"/>
          <w:szCs w:val="18"/>
        </w:rPr>
        <w:t>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lastRenderedPageBreak/>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7A88F561"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BF425F">
        <w:rPr>
          <w:rFonts w:ascii="Arial" w:hAnsi="Arial" w:cs="Arial"/>
          <w:color w:val="000000"/>
          <w:sz w:val="18"/>
          <w:szCs w:val="18"/>
        </w:rPr>
        <w:t>w</w:t>
      </w:r>
      <w:r w:rsidR="00FA65F7" w:rsidRPr="00EC670C">
        <w:rPr>
          <w:rFonts w:ascii="Arial" w:hAnsi="Arial" w:cs="Arial"/>
          <w:color w:val="000000"/>
          <w:sz w:val="18"/>
          <w:szCs w:val="18"/>
        </w:rPr>
        <w:t xml:space="preserve">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r>
        <w:rPr>
          <w:rFonts w:ascii="Arial" w:hAnsi="Arial" w:cs="Arial"/>
          <w:sz w:val="18"/>
          <w:szCs w:val="18"/>
        </w:rPr>
        <w:t xml:space="preserve">STWiORB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3E73AE0C"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sidR="000D1C5E">
        <w:rPr>
          <w:rFonts w:ascii="Arial" w:hAnsi="Arial" w:cs="Arial"/>
          <w:sz w:val="18"/>
          <w:szCs w:val="18"/>
        </w:rPr>
        <w:t>SWZ</w:t>
      </w:r>
      <w:r w:rsidRPr="00E9509F">
        <w:rPr>
          <w:rFonts w:ascii="Arial" w:hAnsi="Arial" w:cs="Arial"/>
          <w:sz w:val="18"/>
          <w:szCs w:val="18"/>
        </w:rPr>
        <w:t xml:space="preserve">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w:t>
      </w:r>
      <w:r w:rsidRPr="00E047E8">
        <w:rPr>
          <w:rFonts w:ascii="Arial" w:hAnsi="Arial" w:cs="Arial"/>
          <w:sz w:val="18"/>
          <w:szCs w:val="18"/>
        </w:rPr>
        <w:lastRenderedPageBreak/>
        <w:t>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670CD592"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specyfikacją warunków zamówienia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EA0E" w14:textId="77777777" w:rsidR="00477159" w:rsidRDefault="00477159">
      <w:r>
        <w:separator/>
      </w:r>
    </w:p>
  </w:endnote>
  <w:endnote w:type="continuationSeparator" w:id="0">
    <w:p w14:paraId="3B80129A" w14:textId="77777777" w:rsidR="00477159" w:rsidRDefault="0047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F87E" w14:textId="77777777" w:rsidR="00477159" w:rsidRDefault="00477159">
      <w:r>
        <w:separator/>
      </w:r>
    </w:p>
  </w:footnote>
  <w:footnote w:type="continuationSeparator" w:id="0">
    <w:p w14:paraId="0BC3E5BB" w14:textId="77777777" w:rsidR="00477159" w:rsidRDefault="0047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0D1C5E"/>
    <w:rsid w:val="0011342C"/>
    <w:rsid w:val="00137A97"/>
    <w:rsid w:val="00144670"/>
    <w:rsid w:val="0015105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907A7"/>
    <w:rsid w:val="00392278"/>
    <w:rsid w:val="003A4001"/>
    <w:rsid w:val="003B0371"/>
    <w:rsid w:val="003C2424"/>
    <w:rsid w:val="003C555A"/>
    <w:rsid w:val="003D316B"/>
    <w:rsid w:val="0040682F"/>
    <w:rsid w:val="00413369"/>
    <w:rsid w:val="00420EC3"/>
    <w:rsid w:val="00424B6D"/>
    <w:rsid w:val="004269A4"/>
    <w:rsid w:val="00440458"/>
    <w:rsid w:val="00441B04"/>
    <w:rsid w:val="00442A33"/>
    <w:rsid w:val="00464059"/>
    <w:rsid w:val="00466512"/>
    <w:rsid w:val="00466A94"/>
    <w:rsid w:val="00477159"/>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96ADB"/>
    <w:rsid w:val="005C2BC0"/>
    <w:rsid w:val="005D062B"/>
    <w:rsid w:val="005D1BFD"/>
    <w:rsid w:val="005F0C1F"/>
    <w:rsid w:val="006036B0"/>
    <w:rsid w:val="00615131"/>
    <w:rsid w:val="00641996"/>
    <w:rsid w:val="00643038"/>
    <w:rsid w:val="00657D51"/>
    <w:rsid w:val="00663B0E"/>
    <w:rsid w:val="006871FC"/>
    <w:rsid w:val="0069740C"/>
    <w:rsid w:val="006D3F93"/>
    <w:rsid w:val="00704B3D"/>
    <w:rsid w:val="00706550"/>
    <w:rsid w:val="00710264"/>
    <w:rsid w:val="00721B97"/>
    <w:rsid w:val="00740056"/>
    <w:rsid w:val="007541C6"/>
    <w:rsid w:val="0076410F"/>
    <w:rsid w:val="0078573A"/>
    <w:rsid w:val="0078702D"/>
    <w:rsid w:val="00791A47"/>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46D0C"/>
    <w:rsid w:val="00955E84"/>
    <w:rsid w:val="00972877"/>
    <w:rsid w:val="00976477"/>
    <w:rsid w:val="0099317A"/>
    <w:rsid w:val="009A4D42"/>
    <w:rsid w:val="009C2B13"/>
    <w:rsid w:val="009D1D91"/>
    <w:rsid w:val="00A01CB1"/>
    <w:rsid w:val="00A16D6F"/>
    <w:rsid w:val="00A22EAF"/>
    <w:rsid w:val="00A43CB0"/>
    <w:rsid w:val="00A47DE4"/>
    <w:rsid w:val="00A66B95"/>
    <w:rsid w:val="00A762BA"/>
    <w:rsid w:val="00AC2224"/>
    <w:rsid w:val="00AC3C8F"/>
    <w:rsid w:val="00AD5FA1"/>
    <w:rsid w:val="00AE1433"/>
    <w:rsid w:val="00AE70E6"/>
    <w:rsid w:val="00AF468E"/>
    <w:rsid w:val="00AF52FA"/>
    <w:rsid w:val="00B03597"/>
    <w:rsid w:val="00B11EE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425F"/>
    <w:rsid w:val="00BF717C"/>
    <w:rsid w:val="00C11B90"/>
    <w:rsid w:val="00C23200"/>
    <w:rsid w:val="00C24ED6"/>
    <w:rsid w:val="00C47558"/>
    <w:rsid w:val="00C47D0F"/>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10</Pages>
  <Words>8290</Words>
  <Characters>49746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109</cp:revision>
  <dcterms:created xsi:type="dcterms:W3CDTF">2023-09-08T06:52:00Z</dcterms:created>
  <dcterms:modified xsi:type="dcterms:W3CDTF">2025-05-22T12:29:00Z</dcterms:modified>
</cp:coreProperties>
</file>