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spacing w:lineRule="auto" w:line="264"/>
        <w:ind w:right="-142" w:hanging="0"/>
        <w:jc w:val="right"/>
        <w:rPr>
          <w:rFonts w:ascii="Arial" w:hAnsi="Arial"/>
          <w:i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 xml:space="preserve">Załącznik nr 1 do Zaproszenia </w:t>
      </w:r>
    </w:p>
    <w:p>
      <w:pPr>
        <w:pStyle w:val="Normal"/>
        <w:tabs>
          <w:tab w:val="left" w:pos="0" w:leader="none"/>
        </w:tabs>
        <w:spacing w:lineRule="auto" w:line="276"/>
        <w:ind w:right="-142" w:hanging="0"/>
        <w:jc w:val="right"/>
        <w:rPr>
          <w:rFonts w:ascii="Arial" w:hAnsi="Arial"/>
          <w:b/>
          <w:b/>
          <w:i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  <w:t>WTT.236.66.2.2020</w:t>
      </w:r>
    </w:p>
    <w:p>
      <w:pPr>
        <w:pStyle w:val="Normal"/>
        <w:tabs>
          <w:tab w:val="left" w:pos="0" w:leader="none"/>
        </w:tabs>
        <w:spacing w:lineRule="auto" w:line="276"/>
        <w:ind w:right="-142" w:hanging="0"/>
        <w:jc w:val="right"/>
        <w:rPr>
          <w:rFonts w:ascii="Arial" w:hAnsi="Arial"/>
          <w:b/>
          <w:b/>
          <w:i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</w:r>
    </w:p>
    <w:tbl>
      <w:tblPr>
        <w:tblW w:w="14881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2407"/>
        <w:gridCol w:w="12473"/>
      </w:tblGrid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Element/cecha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Wymagania przedmiotu zamówienia </w:t>
            </w:r>
            <w:r>
              <w:rPr>
                <w:rFonts w:ascii="Arial" w:hAnsi="Arial"/>
                <w:sz w:val="22"/>
                <w:szCs w:val="22"/>
              </w:rPr>
              <w:t>(wymagania minimalne)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Funkcjonalność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Radioprzemiennik ma realizować funkcję wyniesionej stacji nadawczo-odbiorczej (na kanale simpleksowym pasma 149MHz) sterowanej łączem radiowym (kanał simpleksowy w paśmie 165 MHz). 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Obudowa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Obudowa metalowa, szczelnie zamykana, z możliwością montażu na ścianie.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Tryby pracy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Konwencjonalny analogowy z tonową blokadą szumów CTCSS oraz DMR.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Układ nadajników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numPr>
                <w:ilvl w:val="0"/>
                <w:numId w:val="5"/>
              </w:numPr>
              <w:ind w:left="376" w:hanging="360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>Radioprzemiennik musi być wyposażony w dwa urządzenia nadawczo-odbiorcze mogące pracować na różnych częstotliwościach z wykorzystaniem dwóch osobnych torów antenowych.</w:t>
            </w:r>
          </w:p>
          <w:p>
            <w:pPr>
              <w:pStyle w:val="Zawartotabeli"/>
              <w:numPr>
                <w:ilvl w:val="0"/>
                <w:numId w:val="5"/>
              </w:numPr>
              <w:ind w:left="376" w:hanging="360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Radioprzemiennik musi spełniać wymagania dla pracujących w PSP urządzeń radiowych, wynikające z „Instrukcji z sprawie organizacji łączności radiowej” z dnia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.04.2019 roku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Zasilanie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AC 230V z zastosowaniem zasilacza obsługującego akumulator dla zachowania </w:t>
            </w:r>
            <w:r>
              <w:rPr>
                <w:rFonts w:ascii="Arial" w:hAnsi="Arial"/>
                <w:sz w:val="22"/>
                <w:szCs w:val="22"/>
              </w:rPr>
              <w:t xml:space="preserve">nieprzerwanej </w:t>
            </w:r>
            <w:r>
              <w:rPr>
                <w:rFonts w:ascii="Arial" w:hAnsi="Arial"/>
                <w:sz w:val="22"/>
                <w:szCs w:val="22"/>
              </w:rPr>
              <w:t>pracy przy zaniku zasilania w sieci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Pasmo pracy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numPr>
                <w:ilvl w:val="0"/>
                <w:numId w:val="2"/>
              </w:numPr>
              <w:ind w:left="365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VHF: 136-174MHz.</w:t>
            </w:r>
          </w:p>
          <w:p>
            <w:pPr>
              <w:pStyle w:val="Zawartotabeli"/>
              <w:numPr>
                <w:ilvl w:val="0"/>
                <w:numId w:val="2"/>
              </w:numPr>
              <w:ind w:left="365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Wymagane są 2 filtry pasmowo przepustowe VHF, po jednym dla każdego toru antenowego, zestrojone wg wymagań  zamawiającego, dla uzyskania maksymalnie separacji odbiornika względem nadajnika.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Zabezpieczenia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ind w:left="365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kpl. ochronników antenowych typu polyphaser.</w:t>
            </w:r>
          </w:p>
          <w:p>
            <w:pPr>
              <w:pStyle w:val="Zawartotabeli"/>
              <w:numPr>
                <w:ilvl w:val="0"/>
                <w:numId w:val="1"/>
              </w:numPr>
              <w:ind w:left="365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Przeciwprzepięciowe zabezpieczenie zasilania typu B+C.</w:t>
            </w:r>
          </w:p>
          <w:p>
            <w:pPr>
              <w:pStyle w:val="Zawartotabeli"/>
              <w:numPr>
                <w:ilvl w:val="0"/>
                <w:numId w:val="1"/>
              </w:numPr>
              <w:ind w:left="365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Zabezpieczenie przed skutkami zaniku zasilania umożliwiające podtrzymanie działania urządzenia przez minimum 240 minut (w tym 60 minut przy nadawaniu).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Dołączone akcesoria: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numPr>
                <w:ilvl w:val="0"/>
                <w:numId w:val="3"/>
              </w:numPr>
              <w:ind w:left="365" w:hanging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Kabel zasilający.</w:t>
            </w:r>
          </w:p>
          <w:p>
            <w:pPr>
              <w:pStyle w:val="Zawartotabeli"/>
              <w:numPr>
                <w:ilvl w:val="0"/>
                <w:numId w:val="3"/>
              </w:numPr>
              <w:ind w:left="365" w:hanging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Instrukcja obsługi w języku Polskim.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</w:rPr>
              <w:t>Gwarancja dla całości zamówienia: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numPr>
                <w:ilvl w:val="0"/>
                <w:numId w:val="4"/>
              </w:numPr>
              <w:ind w:left="365" w:hanging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Czas trwania gwarancji: min. 24 miesięcy od daty odbioru. </w:t>
            </w:r>
          </w:p>
          <w:p>
            <w:pPr>
              <w:pStyle w:val="Zawartotabeli"/>
              <w:numPr>
                <w:ilvl w:val="0"/>
                <w:numId w:val="4"/>
              </w:numPr>
              <w:ind w:left="365" w:hanging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Rodzaj gwarancji: Door-To-Door. </w:t>
            </w:r>
          </w:p>
        </w:tc>
      </w:tr>
      <w:tr>
        <w:trPr/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Wsparcie techniczne: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Darmowa aktualizacja oprogramowania do najnowszej oferowanej przez Producenta wersji przez cały okres trwania gwarancji.</w:t>
            </w:r>
          </w:p>
        </w:tc>
      </w:tr>
      <w:tr>
        <w:trPr>
          <w:trHeight w:val="419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Stan techniczny:</w:t>
            </w:r>
          </w:p>
        </w:tc>
        <w:tc>
          <w:tcPr>
            <w:tcW w:w="1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Całość dostarczanego sprzętu i oprogramowania musi być nowa, nierefabrykowana i wcześniej nieużywana.</w:t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retekstu"/>
        <w:rPr/>
      </w:pPr>
      <w:r>
        <w:rPr>
          <w:rStyle w:val="Strong"/>
          <w:rFonts w:ascii="Arial" w:hAnsi="Arial"/>
          <w:sz w:val="22"/>
          <w:szCs w:val="22"/>
        </w:rPr>
        <w:t>Uwaga: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88" w:before="0" w:after="140"/>
        <w:rPr/>
      </w:pPr>
      <w:r>
        <w:rPr>
          <w:rFonts w:ascii="Arial" w:hAnsi="Arial"/>
          <w:sz w:val="22"/>
          <w:szCs w:val="22"/>
        </w:rPr>
        <w:t>Wykonawca oświadcza, że podane przez niego informacje są zgodne z prawdą i że w przypadku wyboru jego oferty poniesie on pełną odpowiedzialność za realizację zamówienia zgodnie z wymienionymi tu warunkami. Zamawiający dopuszcza rozwiązania z lepszymi parametrami, od tych, które określono w powyższej tabeli.</w:t>
      </w:r>
    </w:p>
    <w:sectPr>
      <w:footerReference w:type="default" r:id="rId2"/>
      <w:type w:val="nextPage"/>
      <w:pgSz w:orient="landscape" w:w="16838" w:h="11906"/>
      <w:pgMar w:left="1020" w:right="1020" w:header="0" w:top="1020" w:footer="1020" w:bottom="140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strona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</w:r>
    <w:r>
      <w:rPr>
        <w:i/>
        <w:color w:val="000000"/>
        <w:sz w:val="20"/>
        <w:szCs w:val="20"/>
      </w:rPr>
      <w:t>Załącznik nr 1 do Zaproszenia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Nagwek2">
    <w:name w:val="Heading 2"/>
    <w:basedOn w:val="Gwka"/>
    <w:qFormat/>
    <w:pPr>
      <w:spacing w:before="200" w:after="0"/>
      <w:outlineLvl w:val="1"/>
    </w:pPr>
    <w:rPr>
      <w:rFonts w:ascii="Liberation Serif" w:hAnsi="Liberation Serif" w:eastAsia="SimSun"/>
      <w:b/>
      <w:bCs/>
      <w:sz w:val="36"/>
      <w:szCs w:val="36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d4652"/>
    <w:pPr>
      <w:keepNext w:val="true"/>
      <w:keepLines/>
      <w:spacing w:before="40" w:after="0"/>
      <w:outlineLvl w:val="2"/>
    </w:pPr>
    <w:rPr>
      <w:rFonts w:ascii="Calibri Light" w:hAnsi="Calibri Light" w:eastAsia="" w:cs="Mangal" w:asciiTheme="majorHAnsi" w:eastAsiaTheme="majorEastAsia" w:hAnsiTheme="majorHAnsi"/>
      <w:color w:val="1F4D78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b36b4"/>
    <w:rPr>
      <w:color w:val="0563C1" w:themeColor="hyperlink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77709"/>
    <w:rPr>
      <w:rFonts w:cs="Mangal"/>
      <w:sz w:val="20"/>
      <w:szCs w:val="18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77709"/>
    <w:rPr>
      <w:vertAlign w:val="superscript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fb36b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a533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01a8a"/>
    <w:rPr>
      <w:b/>
      <w:bCs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3d4652"/>
    <w:rPr>
      <w:rFonts w:ascii="Calibri Light" w:hAnsi="Calibri Light" w:eastAsia="" w:cs="Mangal" w:asciiTheme="majorHAnsi" w:eastAsiaTheme="majorEastAsia" w:hAnsiTheme="majorHAnsi"/>
      <w:color w:val="1F4D78" w:themeColor="accent1" w:themeShade="7f"/>
      <w:szCs w:val="21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Arial" w:hAnsi="Arial" w:cs="Symbol"/>
      <w:sz w:val="22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Arial" w:hAnsi="Arial" w:cs="Symbol"/>
      <w:sz w:val="22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Arial" w:hAnsi="Arial" w:cs="Symbol"/>
      <w:sz w:val="22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Arial" w:hAnsi="Arial" w:cs="Symbol"/>
      <w:sz w:val="22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kstwstpniesformatowany" w:customStyle="1">
    <w:name w:val="Tekst wstępnie sformatowany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Gwkaistopka" w:customStyle="1">
    <w:name w:val="Główka i stopk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77709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Application>LibreOffice/6.0.7.3$MacOSX_X86_64 LibreOffice_project/dc89aa7a9eabfd848af146d5086077aeed2ae4a5</Application>
  <Pages>2</Pages>
  <Words>293</Words>
  <Characters>1996</Characters>
  <CharactersWithSpaces>2249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2020-10-09T13:08:00Z</dcterms:created>
  <dc:creator>Łukasz Nowak</dc:creator>
  <dc:description/>
  <dc:language>pl-PL</dc:language>
  <cp:lastModifiedBy/>
  <cp:lastPrinted>2020-10-06T11:41:00Z</cp:lastPrinted>
  <dcterms:modified xsi:type="dcterms:W3CDTF">2020-10-20T09:05:36Z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